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5.xml" ContentType="application/vnd.openxmlformats-officedocument.wordprocessingml.header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Normal"/>
        <w:keepNext w:val="true"/>
        <w:keepLines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i w:val="false"/>
          <w:i w:val="false"/>
          <w:iCs w:val="false"/>
          <w:sz w:val="26"/>
          <w:szCs w:val="26"/>
        </w:rPr>
      </w:pPr>
      <w:r>
        <w:rPr>
          <w:rFonts w:eastAsia="Calibri"/>
          <w:b/>
          <w:i w:val="false"/>
          <w:iCs w:val="false"/>
          <w:sz w:val="26"/>
          <w:szCs w:val="26"/>
        </w:rPr>
        <w:t xml:space="preserve">Технические требования </w:t>
      </w:r>
    </w:p>
    <w:p>
      <w:pPr>
        <w:pStyle w:val="Normal"/>
        <w:widowControl w:val="false"/>
        <w:spacing w:lineRule="auto" w:line="228" w:before="0" w:after="0"/>
        <w:ind w:left="0" w:right="0" w:hanging="0"/>
        <w:contextualSpacing/>
        <w:jc w:val="center"/>
        <w:rPr>
          <w:b/>
          <w:bCs/>
          <w:sz w:val="26"/>
          <w:szCs w:val="26"/>
        </w:rPr>
      </w:pPr>
      <w:r>
        <w:rPr>
          <w:rFonts w:eastAsia="Times New Roman" w:cs="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A"/>
          <w:kern w:val="0"/>
          <w:sz w:val="26"/>
          <w:szCs w:val="26"/>
          <w:u w:val="none"/>
          <w:shd w:fill="auto" w:val="clear"/>
          <w:em w:val="none"/>
          <w:lang w:val="ru-RU" w:eastAsia="en-US" w:bidi="ar-SA"/>
        </w:rPr>
        <w:t>"О</w:t>
      </w:r>
      <w:r>
        <w:rPr>
          <w:rFonts w:eastAsia="Times New Roman" w:cs=""/>
          <w:b/>
          <w:bCs/>
          <w:i w:val="false"/>
          <w:iCs/>
          <w:strike w:val="false"/>
          <w:dstrike w:val="false"/>
          <w:outline w:val="false"/>
          <w:shadow w:val="false"/>
          <w:color w:val="00000A"/>
          <w:kern w:val="0"/>
          <w:sz w:val="26"/>
          <w:szCs w:val="26"/>
          <w:u w:val="none"/>
          <w:shd w:fill="auto" w:val="clear"/>
          <w:em w:val="none"/>
          <w:lang w:val="ru-RU" w:eastAsia="ru-RU" w:bidi="ar-SA"/>
        </w:rPr>
        <w:t>КПД2 43.21.10 Мероприятия по подключению новых потребителей в рамках реализации проектов 4-ПТП</w:t>
      </w:r>
      <w:r>
        <w:rPr>
          <w:rFonts w:eastAsia="Times New Roman" w:cs="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A"/>
          <w:kern w:val="0"/>
          <w:sz w:val="26"/>
          <w:szCs w:val="26"/>
          <w:u w:val="none"/>
          <w:shd w:fill="auto" w:val="clear"/>
          <w:em w:val="none"/>
          <w:lang w:val="ru-RU" w:eastAsia="en-US" w:bidi="ar-SA"/>
        </w:rPr>
        <w:t>" для заявителей ИП Васильев А.Е., АО Сатис-ТЛ-94</w:t>
      </w:r>
    </w:p>
    <w:p>
      <w:pPr>
        <w:pStyle w:val="Normal"/>
        <w:jc w:val="center"/>
        <w:rPr/>
      </w:pPr>
      <w:r>
        <w:rPr>
          <w:rFonts w:eastAsia="Calibri"/>
          <w:b/>
          <w:i/>
          <w:sz w:val="26"/>
          <w:szCs w:val="26"/>
        </w:rPr>
        <w:t xml:space="preserve"> </w:t>
      </w:r>
      <w:r>
        <w:rPr>
          <w:rFonts w:eastAsia="Calibri"/>
          <w:b/>
          <w:i/>
          <w:sz w:val="26"/>
          <w:szCs w:val="26"/>
        </w:rPr>
        <w:t>( Закупка        -КС ПИР СМР-2026-ДРСК-ХЭС)</w:t>
      </w:r>
    </w:p>
    <w:p>
      <w:pPr>
        <w:pStyle w:val="Normal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</w:p>
    <w:p>
      <w:pPr>
        <w:pStyle w:val="Normal"/>
        <w:keepNext w:val="true"/>
        <w:keepLines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  <w:r>
        <w:br w:type="page"/>
      </w:r>
    </w:p>
    <w:p>
      <w:pPr>
        <w:pStyle w:val="Normal"/>
        <w:jc w:val="center"/>
        <w:rPr>
          <w:color w:val="auto"/>
        </w:rPr>
      </w:pPr>
      <w:r>
        <w:rPr>
          <w:b/>
          <w:color w:val="000000"/>
        </w:rPr>
        <w:t>СОДЕРЖАНИЕ</w:t>
      </w:r>
    </w:p>
    <w:p>
      <w:pPr>
        <w:pStyle w:val="Normal"/>
        <w:jc w:val="center"/>
        <w:rPr>
          <w:color w:val="auto"/>
        </w:rPr>
      </w:pPr>
      <w:r>
        <w:rPr>
          <w:color w:val="auto"/>
        </w:rPr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rPr/>
          </w:pPr>
          <w:hyperlink w:anchor="_Toc54646395">
            <w:r>
              <w:rPr>
                <w:rStyle w:val="Hyperlink"/>
                <w:vanish w:val="false"/>
                <w:color w:val="000000"/>
              </w:rPr>
              <w:t>1.Общие сведения</w:t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_Toc54646395 \h</w:instrText>
            </w:r>
            <w:r>
              <w:rPr>
                <w:webHidden/>
              </w:rPr>
              <w:fldChar w:fldCharType="separate"/>
            </w:r>
            <w:r>
              <w:rPr>
                <w:rStyle w:val="Hyperlink"/>
                <w:vanish/>
              </w:rPr>
              <w:fldChar w:fldCharType="begin"/>
            </w:r>
            <w:r>
              <w:rPr>
                <w:webHidden/>
              </w:rPr>
              <w:fldChar w:fldCharType="end"/>
            </w:r>
            <w:r>
              <w:rPr>
                <w:rStyle w:val="Hyperlink"/>
                <w:vanish/>
              </w:rPr>
              <w:instrText xml:space="preserve"> PAGEREF _Toc54646395 \h </w:instrText>
            </w:r>
            <w:r>
              <w:rPr>
                <w:rStyle w:val="Hyperlink"/>
                <w:vanish/>
              </w:rPr>
              <w:fldChar w:fldCharType="separate"/>
            </w:r>
            <w:r>
              <w:rPr>
                <w:rStyle w:val="Hyperlink"/>
                <w:vanish/>
              </w:rPr>
              <w:t>3</w:t>
            </w:r>
            <w:r>
              <w:rPr>
                <w:rStyle w:val="Hyperlink"/>
                <w:vanish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/>
          </w:pPr>
          <w:r>
            <w:rPr>
              <w:rStyle w:val="Style14"/>
              <w:iCs/>
              <w:vanish w:val="false"/>
              <w:color w:val="000000"/>
            </w:rPr>
            <w:t>1.1.</w:t>
          </w:r>
          <w:r>
            <w:rPr>
              <w:rStyle w:val="Style14"/>
              <w:rFonts w:eastAsia="" w:cs="" w:ascii="Calibri" w:hAnsi="Calibri" w:asciiTheme="minorHAnsi" w:cstheme="minorBidi" w:eastAsiaTheme="minorEastAsia" w:hAnsiTheme="minorHAnsi"/>
              <w:color w:val="000000"/>
              <w:sz w:val="24"/>
              <w:szCs w:val="24"/>
            </w:rPr>
            <w:tab/>
          </w:r>
          <w:r>
            <w:rPr>
              <w:rStyle w:val="Style14"/>
              <w:color w:val="000000"/>
            </w:rPr>
            <w:t>Обозначения и сокращения...............................................................................................................................4</w:t>
          </w:r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/>
          </w:pPr>
          <w:r>
            <w:rPr>
              <w:rStyle w:val="Style14"/>
              <w:iCs/>
              <w:vanish w:val="false"/>
              <w:color w:val="000000"/>
            </w:rPr>
            <w:t>1.2.</w:t>
          </w:r>
          <w:r>
            <w:rPr>
              <w:rStyle w:val="Style14"/>
              <w:rFonts w:eastAsia="" w:cs="" w:ascii="Calibri" w:hAnsi="Calibri" w:asciiTheme="minorHAnsi" w:cstheme="minorBidi" w:eastAsiaTheme="minorEastAsia" w:hAnsiTheme="minorHAnsi"/>
              <w:color w:val="000000"/>
              <w:sz w:val="24"/>
              <w:szCs w:val="24"/>
            </w:rPr>
            <w:tab/>
          </w:r>
          <w:r>
            <w:rPr>
              <w:rStyle w:val="Style14"/>
              <w:color w:val="000000"/>
            </w:rPr>
            <w:t>Наименование закупаемой продукции............................................................................................................4</w:t>
          </w:r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color w:val="000000"/>
              <w:sz w:val="24"/>
              <w:szCs w:val="24"/>
            </w:rPr>
          </w:pPr>
          <w:r>
            <w:rPr>
              <w:rStyle w:val="Style14"/>
              <w:iCs/>
              <w:vanish w:val="false"/>
              <w:color w:val="000000"/>
            </w:rPr>
            <w:t>1.3.</w:t>
          </w:r>
          <w:r>
            <w:rPr>
              <w:rStyle w:val="Style14"/>
              <w:rFonts w:eastAsia="" w:cs="" w:ascii="Calibri" w:hAnsi="Calibri" w:asciiTheme="minorHAnsi" w:cstheme="minorBidi" w:eastAsiaTheme="minorEastAsia" w:hAnsiTheme="minorHAnsi"/>
              <w:color w:val="000000"/>
              <w:sz w:val="24"/>
              <w:szCs w:val="24"/>
            </w:rPr>
            <w:tab/>
          </w:r>
          <w:r>
            <w:rPr>
              <w:rStyle w:val="Style14"/>
              <w:color w:val="000000"/>
            </w:rPr>
            <w:t>Цель выполнения работ</w:t>
          </w:r>
          <w:r>
            <w:rPr>
              <w:rStyle w:val="Style14"/>
              <w:vanish/>
              <w:color w:val="000000"/>
            </w:rPr>
            <w:t>.....................0000 ...............................................................................................................4...............................................................................................................................4</w:t>
            <w:tab/>
          </w:r>
          <w:r>
            <w:rPr>
              <w:rStyle w:val="Style14"/>
              <w:vanish/>
              <w:color w:val="000000"/>
            </w:rPr>
            <w:fldChar w:fldCharType="begin"/>
          </w:r>
          <w:r>
            <w:rPr>
              <w:rStyle w:val="Style14"/>
              <w:vanish/>
              <w:color w:val="000000"/>
            </w:rPr>
            <w:instrText xml:space="preserve"> PAGEREF _Toc54646409 \h </w:instrText>
          </w:r>
          <w:r>
            <w:rPr>
              <w:rStyle w:val="Style14"/>
              <w:vanish/>
              <w:color w:val="000000"/>
            </w:rPr>
            <w:fldChar w:fldCharType="separate"/>
          </w:r>
          <w:r>
            <w:rPr>
              <w:rStyle w:val="Style14"/>
              <w:vanish/>
              <w:color w:val="000000"/>
            </w:rPr>
            <w:t>Ошибка: источник перекрёстной ссылки не найден</w:t>
          </w:r>
          <w:r>
            <w:rPr>
              <w:rStyle w:val="Style14"/>
              <w:vanish/>
              <w:color w:val="000000"/>
            </w:rPr>
            <w:fldChar w:fldCharType="end"/>
          </w:r>
          <w:r>
            <w:rPr>
              <w:rStyle w:val="Style14"/>
              <w:vanish/>
              <w:color w:val="000000"/>
            </w:rPr>
            <w:t xml:space="preserve">...... </w:t>
          </w:r>
          <w:r>
            <w:rPr/>
            <w:t>....................................................................................................................................4</w:t>
          </w:r>
        </w:p>
        <w:p>
          <w:pPr>
            <w:pStyle w:val="TOC1"/>
            <w:rPr/>
          </w:pPr>
          <w:r>
            <w:rPr>
              <w:rStyle w:val="Style14"/>
              <w:vanish w:val="false"/>
              <w:color w:val="000000"/>
            </w:rPr>
            <w:t>2.</w:t>
          </w:r>
          <w:r>
            <w:rPr>
              <w:rStyle w:val="Style14"/>
              <w:iCs/>
              <w:color w:val="000000"/>
            </w:rPr>
            <w:t>Требования к продукции</w:t>
          </w:r>
          <w:r>
            <w:rPr>
              <w:vanish/>
            </w:rPr>
            <w:fldChar w:fldCharType="begin"/>
          </w:r>
          <w:r>
            <w:rPr>
              <w:vanish/>
            </w:rPr>
            <w:instrText xml:space="preserve"> PAGEREF _Toc54646403 \h </w:instrText>
          </w:r>
          <w:r>
            <w:rPr>
              <w:vanish/>
            </w:rPr>
            <w:fldChar w:fldCharType="separate"/>
          </w:r>
          <w:r>
            <w:rPr>
              <w:vanish/>
            </w:rPr>
            <w:t>Ошибка: источник перекрёстной ссылки не найден</w:t>
          </w:r>
          <w:r>
            <w:rPr>
              <w:vanish/>
            </w:rPr>
            <w:fldChar w:fldCharType="end"/>
          </w:r>
          <w:r>
            <w:rPr>
              <w:vanish/>
            </w:rPr>
            <w:t xml:space="preserve">          </w:t>
            <w:tab/>
            <w:t>Ошибка: источник перекрёстной ссылки не найден</w:t>
          </w:r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/>
          </w:pPr>
          <w:r>
            <w:rPr>
              <w:rStyle w:val="Style14"/>
              <w:iCs/>
              <w:vanish w:val="false"/>
              <w:color w:val="000000"/>
            </w:rPr>
            <w:t>2.1.</w:t>
          </w:r>
          <w:r>
            <w:rPr>
              <w:rStyle w:val="Style14"/>
              <w:rFonts w:eastAsia="" w:cs="" w:ascii="Calibri" w:hAnsi="Calibri" w:asciiTheme="minorHAnsi" w:cstheme="minorBidi" w:eastAsiaTheme="minorEastAsia" w:hAnsiTheme="minorHAnsi"/>
              <w:color w:val="000000"/>
              <w:sz w:val="24"/>
              <w:szCs w:val="24"/>
            </w:rPr>
            <w:tab/>
          </w:r>
          <w:r>
            <w:rPr>
              <w:rStyle w:val="Style14"/>
              <w:color w:val="000000"/>
            </w:rPr>
            <w:t>Требования к объемам и срокам выполнения работ......................................................................................4</w:t>
          </w:r>
        </w:p>
        <w:p>
          <w:pPr>
            <w:pStyle w:val="TOC3"/>
            <w:tabs>
              <w:tab w:val="clear" w:pos="708"/>
              <w:tab w:val="left" w:pos="1120" w:leader="none"/>
              <w:tab w:val="right" w:pos="9911" w:leader="dot"/>
            </w:tabs>
            <w:rPr/>
          </w:pPr>
          <w:r>
            <w:rPr>
              <w:rStyle w:val="Style14"/>
              <w:vanish w:val="false"/>
              <w:color w:val="000000"/>
            </w:rPr>
            <w:t>2.1.1.</w:t>
          </w:r>
          <w:r>
            <w:rPr>
              <w:rStyle w:val="Style14"/>
              <w:rFonts w:eastAsia="" w:cs="" w:ascii="Calibri" w:hAnsi="Calibri" w:asciiTheme="minorHAnsi" w:cstheme="minorBidi" w:eastAsiaTheme="minorEastAsia" w:hAnsiTheme="minorHAnsi"/>
              <w:color w:val="000000"/>
              <w:sz w:val="24"/>
              <w:szCs w:val="24"/>
            </w:rPr>
            <w:tab/>
          </w:r>
          <w:r>
            <w:rPr>
              <w:rStyle w:val="Style14"/>
              <w:color w:val="000000"/>
            </w:rPr>
            <w:t>Требования к видам и объемам работ..............................................................................................................5</w:t>
          </w:r>
        </w:p>
        <w:p>
          <w:pPr>
            <w:pStyle w:val="TOC3"/>
            <w:tabs>
              <w:tab w:val="clear" w:pos="708"/>
              <w:tab w:val="left" w:pos="1120" w:leader="none"/>
              <w:tab w:val="right" w:pos="9911" w:leader="dot"/>
            </w:tabs>
            <w:rPr>
              <w:sz w:val="22"/>
              <w:szCs w:val="22"/>
            </w:rPr>
          </w:pPr>
          <w:r>
            <w:rPr>
              <w:color w:val="000000"/>
            </w:rPr>
            <w:t>2.1.2.        Требования к срокам выполнения работ…………………………………………...………………………..</w:t>
          </w:r>
          <w:r>
            <w:rPr>
              <w:color w:val="000000"/>
              <w:sz w:val="22"/>
              <w:szCs w:val="22"/>
            </w:rPr>
            <w:t>5</w:t>
          </w:r>
        </w:p>
        <w:p>
          <w:pPr>
            <w:pStyle w:val="TOC1"/>
            <w:rPr/>
          </w:pPr>
          <w:r>
            <w:rPr>
              <w:rStyle w:val="Style14"/>
              <w:vanish w:val="false"/>
              <w:color w:val="000000"/>
            </w:rPr>
            <w:t xml:space="preserve">Таблица </w:t>
          </w:r>
          <w:r>
            <w:rPr>
              <w:rStyle w:val="Style14"/>
              <w:color w:val="000000"/>
            </w:rPr>
            <w:t xml:space="preserve">1. Требования по срокам выполнения работ </w:t>
            <w:tab/>
          </w:r>
          <w:r>
            <w:rPr>
              <w:color w:val="000000"/>
            </w:rPr>
            <w:t>5</w:t>
          </w:r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/>
          </w:pPr>
          <w:r>
            <w:rPr>
              <w:rStyle w:val="Style14"/>
              <w:iCs/>
              <w:vanish w:val="false"/>
              <w:color w:val="000000"/>
            </w:rPr>
            <w:t>2.2.</w:t>
          </w:r>
          <w:r>
            <w:rPr>
              <w:rStyle w:val="Style14"/>
              <w:rFonts w:eastAsia="" w:cs="" w:ascii="Calibri" w:hAnsi="Calibri" w:asciiTheme="minorHAnsi" w:cstheme="minorBidi" w:eastAsiaTheme="minorEastAsia" w:hAnsiTheme="minorHAnsi"/>
              <w:color w:val="000000"/>
              <w:sz w:val="24"/>
              <w:szCs w:val="24"/>
            </w:rPr>
            <w:tab/>
          </w:r>
          <w:r>
            <w:rPr>
              <w:rStyle w:val="Style14"/>
              <w:color w:val="000000"/>
            </w:rPr>
            <w:t>Требования качеству работ</w:t>
            <w:tab/>
          </w:r>
          <w:r>
            <w:rPr>
              <w:color w:val="000000"/>
              <w:sz w:val="24"/>
              <w:szCs w:val="24"/>
            </w:rPr>
            <w:t>6</w:t>
          </w:r>
        </w:p>
        <w:p>
          <w:pPr>
            <w:pStyle w:val="TOC3"/>
            <w:tabs>
              <w:tab w:val="clear" w:pos="708"/>
              <w:tab w:val="left" w:pos="1120" w:leader="none"/>
              <w:tab w:val="right" w:pos="9911" w:leader="dot"/>
            </w:tabs>
            <w:rPr/>
          </w:pPr>
          <w:r>
            <w:rPr>
              <w:rStyle w:val="Style14"/>
              <w:vanish w:val="false"/>
              <w:color w:val="000000"/>
            </w:rPr>
            <w:t>2.1.2.</w:t>
          </w:r>
          <w:r>
            <w:rPr>
              <w:rStyle w:val="Style14"/>
              <w:rFonts w:eastAsia="" w:cs="" w:ascii="Calibri" w:hAnsi="Calibri" w:asciiTheme="minorHAnsi" w:cstheme="minorBidi" w:eastAsiaTheme="minorEastAsia" w:hAnsiTheme="minorHAnsi"/>
              <w:color w:val="000000"/>
              <w:sz w:val="24"/>
              <w:szCs w:val="24"/>
            </w:rPr>
            <w:tab/>
          </w:r>
          <w:r>
            <w:rPr>
              <w:rStyle w:val="Style14"/>
              <w:color w:val="000000"/>
            </w:rPr>
            <w:t>Требования к срокам выполнения работ</w:t>
            <w:tab/>
          </w:r>
          <w:r>
            <w:rPr>
              <w:vanish/>
            </w:rPr>
            <w:fldChar w:fldCharType="begin"/>
          </w:r>
          <w:r>
            <w:rPr>
              <w:vanish/>
            </w:rPr>
            <w:instrText xml:space="preserve"> PAGEREF _Toc54646407 \h </w:instrText>
          </w:r>
          <w:r>
            <w:rPr>
              <w:vanish/>
            </w:rPr>
            <w:fldChar w:fldCharType="separate"/>
          </w:r>
          <w:r>
            <w:rPr>
              <w:vanish/>
            </w:rPr>
            <w:t>Ошибка: источник перекрёстной ссылки не найден</w:t>
          </w:r>
          <w:r>
            <w:rPr>
              <w:vanish/>
            </w:rPr>
            <w:fldChar w:fldCharType="end"/>
          </w:r>
        </w:p>
        <w:p>
          <w:pPr>
            <w:pStyle w:val="TOC1"/>
            <w:rPr/>
          </w:pPr>
          <w:r>
            <w:rPr>
              <w:rStyle w:val="Style14"/>
              <w:vanish w:val="false"/>
              <w:color w:val="000000"/>
            </w:rPr>
            <w:t xml:space="preserve">Таблица </w:t>
          </w:r>
          <w:r>
            <w:rPr>
              <w:rStyle w:val="Style14"/>
              <w:color w:val="000000"/>
            </w:rPr>
            <w:t xml:space="preserve">2. Требования к качеству </w:t>
            <w:tab/>
          </w:r>
          <w:r>
            <w:rPr>
              <w:color w:val="000000"/>
            </w:rPr>
            <w:t>6</w:t>
          </w:r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/>
          </w:pPr>
          <w:r>
            <w:rPr>
              <w:rStyle w:val="Style14"/>
              <w:iCs/>
              <w:vanish w:val="false"/>
              <w:color w:val="000000"/>
            </w:rPr>
            <w:t>2.2.</w:t>
          </w:r>
          <w:r>
            <w:rPr>
              <w:rStyle w:val="Style14"/>
              <w:rFonts w:eastAsia="" w:cs="" w:ascii="Calibri" w:hAnsi="Calibri" w:asciiTheme="minorHAnsi" w:cstheme="minorBidi" w:eastAsiaTheme="minorEastAsia" w:hAnsiTheme="minorHAnsi"/>
              <w:color w:val="000000"/>
              <w:sz w:val="24"/>
              <w:szCs w:val="24"/>
            </w:rPr>
            <w:tab/>
          </w:r>
          <w:r>
            <w:rPr>
              <w:rStyle w:val="Style14"/>
              <w:color w:val="000000"/>
            </w:rPr>
            <w:t>Требования к качеству работ</w:t>
            <w:tab/>
          </w:r>
          <w:r>
            <w:rPr>
              <w:vanish/>
            </w:rPr>
            <w:fldChar w:fldCharType="begin"/>
          </w:r>
          <w:r>
            <w:rPr>
              <w:vanish/>
            </w:rPr>
            <w:instrText xml:space="preserve"> PAGEREF _Toc54646409 \h </w:instrText>
          </w:r>
          <w:r>
            <w:rPr>
              <w:vanish/>
            </w:rPr>
            <w:fldChar w:fldCharType="separate"/>
          </w:r>
          <w:r>
            <w:rPr>
              <w:vanish/>
            </w:rPr>
            <w:t>Ошибка: источник перекрёстной ссылки не найден</w:t>
          </w:r>
          <w:r>
            <w:rPr>
              <w:vanish/>
            </w:rPr>
            <w:fldChar w:fldCharType="end"/>
          </w:r>
        </w:p>
        <w:p>
          <w:pPr>
            <w:pStyle w:val="TOC1"/>
            <w:rPr/>
          </w:pPr>
          <w:r>
            <w:rPr>
              <w:rStyle w:val="Style14"/>
              <w:vanish w:val="false"/>
              <w:color w:val="000000"/>
            </w:rPr>
            <w:t xml:space="preserve"> </w:t>
          </w:r>
          <w:r>
            <w:rPr>
              <w:rStyle w:val="Style14"/>
              <w:color w:val="000000"/>
            </w:rPr>
            <w:t xml:space="preserve">3. Требования к документации по ценообразованию на этапе заключения договора </w:t>
            <w:tab/>
          </w:r>
          <w:r>
            <w:rPr>
              <w:color w:val="000000"/>
            </w:rPr>
            <w:t>15</w:t>
          </w:r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ind w:left="561" w:hanging="0"/>
            <w:rPr/>
          </w:pPr>
          <w:r>
            <w:rPr>
              <w:iCs/>
              <w:color w:val="000000"/>
            </w:rPr>
            <w:t>3</w:t>
          </w:r>
          <w:r>
            <w:rPr>
              <w:rStyle w:val="Style14"/>
              <w:iCs/>
              <w:vanish w:val="false"/>
              <w:color w:val="000000"/>
            </w:rPr>
            <w:t>.1.</w:t>
          </w:r>
          <w:r>
            <w:rPr>
              <w:rStyle w:val="Style14"/>
              <w:rFonts w:eastAsia="" w:cs="" w:ascii="Calibri" w:hAnsi="Calibri" w:asciiTheme="minorHAnsi" w:cstheme="minorBidi" w:eastAsiaTheme="minorEastAsia" w:hAnsiTheme="minorHAnsi"/>
              <w:color w:val="000000"/>
              <w:sz w:val="24"/>
              <w:szCs w:val="24"/>
            </w:rPr>
            <w:tab/>
          </w:r>
          <w:r>
            <w:rPr>
              <w:rStyle w:val="Style14"/>
              <w:color w:val="000000"/>
            </w:rPr>
            <w:t>Требования к составлению сметной документации(при заключении договора)</w:t>
            <w:tab/>
          </w:r>
          <w:r>
            <w:rPr>
              <w:color w:val="000000"/>
            </w:rPr>
            <w:t>15</w:t>
          </w:r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ind w:left="561" w:hanging="0"/>
            <w:rPr/>
          </w:pPr>
          <w:r>
            <w:rPr/>
          </w:r>
        </w:p>
        <w:p>
          <w:pPr>
            <w:pStyle w:val="Normal"/>
            <w:jc w:val="both"/>
            <w:rPr>
              <w:color w:val="auto"/>
            </w:rPr>
          </w:pPr>
          <w:r>
            <w:rPr>
              <w:rFonts w:eastAsia="" w:eastAsiaTheme="minorEastAsia"/>
              <w:b/>
              <w:color w:val="000000"/>
              <w:sz w:val="24"/>
              <w:szCs w:val="24"/>
            </w:rPr>
            <w:t>4. Перечень Давальческих материалов и запасных частей, Давальческого оборудования будет указан в техническом требовании при заключения дополнительного соглашения…………………………………………………………………………………………...15</w:t>
          </w:r>
        </w:p>
        <w:p>
          <w:pPr>
            <w:pStyle w:val="Normal"/>
            <w:jc w:val="both"/>
            <w:rPr>
              <w:color w:val="auto"/>
            </w:rPr>
          </w:pPr>
          <w:r>
            <w:rPr>
              <w:rFonts w:eastAsia="" w:eastAsiaTheme="minorEastAsia"/>
              <w:b/>
              <w:color w:val="000000"/>
              <w:sz w:val="24"/>
              <w:szCs w:val="24"/>
            </w:rPr>
            <w:t xml:space="preserve">5. </w:t>
          </w:r>
          <w:r>
            <w:rPr>
              <w:rFonts w:eastAsia="Times New Roman" w:cs="Times New Roman"/>
              <w:b/>
              <w:bCs/>
              <w:color w:val="000000"/>
              <w:sz w:val="26"/>
              <w:szCs w:val="26"/>
              <w:shd w:fill="auto" w:val="clear"/>
              <w:lang w:val="x-none"/>
            </w:rPr>
            <w:t>Требования к документации по ценообразованию на этапе исполнения договора....................................................................................................................................15</w:t>
          </w:r>
        </w:p>
        <w:p>
          <w:pPr>
            <w:pStyle w:val="TOC1"/>
            <w:rPr/>
          </w:pPr>
          <w:hyperlink w:anchor="_Toc54646413">
            <w:r>
              <w:rPr>
                <w:rStyle w:val="Style14"/>
                <w:iCs/>
                <w:vanish w:val="false"/>
                <w:color w:val="000000"/>
                <w:shd w:fill="auto" w:val="clear"/>
              </w:rPr>
              <w:t>Приложения</w:t>
            </w:r>
            <w:r>
              <w:rPr>
                <w:rStyle w:val="Style14"/>
                <w:vanish/>
                <w:color w:val="000000"/>
                <w:shd w:fill="auto" w:val="clear"/>
              </w:rPr>
              <w:tab/>
            </w:r>
          </w:hyperlink>
          <w:r>
            <w:rPr>
              <w:vanish/>
              <w:color w:val="000000"/>
              <w:shd w:fill="auto" w:val="clear"/>
            </w:rPr>
            <w:t>15</w:t>
          </w:r>
        </w:p>
        <w:p>
          <w:pPr>
            <w:pStyle w:val="TOC1"/>
            <w:rPr>
              <w:highlight w:val="none"/>
              <w:shd w:fill="auto" w:val="clear"/>
            </w:rPr>
          </w:pPr>
          <w:r>
            <w:rPr>
              <w:rFonts w:eastAsia="" w:cs="" w:ascii="Calibri" w:hAnsi="Calibri" w:asciiTheme="minorHAnsi" w:cstheme="minorBidi" w:eastAsiaTheme="minorEastAsia" w:hAnsiTheme="minorHAnsi"/>
              <w:color w:val="000000"/>
              <w:shd w:fill="auto" w:val="clear"/>
            </w:rPr>
            <w:t xml:space="preserve"> </w:t>
          </w:r>
        </w:p>
        <w:p>
          <w:pPr>
            <w:pStyle w:val="Heading2"/>
            <w:tabs>
              <w:tab w:val="left" w:pos="6609" w:leader="none"/>
            </w:tabs>
            <w:ind w:left="0" w:hanging="0"/>
            <w:rPr>
              <w:highlight w:val="none"/>
              <w:shd w:fill="auto" w:val="clear"/>
            </w:rPr>
          </w:pPr>
          <w:r>
            <w:rPr>
              <w:rFonts w:eastAsia="Times New Roman" w:cs="Calibri Light" w:cstheme="majorHAnsi"/>
              <w:b w:val="false"/>
              <w:i/>
              <w:color w:val="000000"/>
              <w:shd w:fill="auto" w:val="clear"/>
              <w:lang w:val="ru-RU" w:eastAsia="ru-RU"/>
            </w:rPr>
            <w:tab/>
          </w:r>
        </w:p>
      </w:sdtContent>
    </w:sdt>
    <w:p>
      <w:pPr>
        <w:pStyle w:val="Normal"/>
        <w:keepNext w:val="true"/>
        <w:keepLines/>
        <w:jc w:val="center"/>
        <w:rPr>
          <w:rFonts w:eastAsia="Calibri"/>
          <w:b/>
          <w:i/>
          <w:i/>
          <w:color w:val="000000"/>
          <w:sz w:val="24"/>
          <w:szCs w:val="24"/>
          <w:highlight w:val="none"/>
          <w:shd w:fill="auto" w:val="clear"/>
        </w:rPr>
      </w:pPr>
      <w:r>
        <w:rPr>
          <w:rFonts w:eastAsia="Calibri"/>
          <w:b/>
          <w:i/>
          <w:color w:val="000000"/>
          <w:sz w:val="24"/>
          <w:szCs w:val="24"/>
          <w:shd w:fill="auto" w:val="clear"/>
        </w:rPr>
      </w:r>
      <w:bookmarkStart w:id="0" w:name="_GoBack_Копия_1"/>
      <w:bookmarkStart w:id="1" w:name="_GoBack"/>
      <w:bookmarkStart w:id="2" w:name="_GoBack_Копия_1"/>
      <w:bookmarkStart w:id="3" w:name="_GoBack"/>
      <w:bookmarkEnd w:id="2"/>
      <w:bookmarkEnd w:id="3"/>
      <w:r>
        <w:br w:type="page"/>
      </w:r>
    </w:p>
    <w:p>
      <w:pPr>
        <w:pStyle w:val="Heading1"/>
        <w:keepLines/>
        <w:numPr>
          <w:ilvl w:val="0"/>
          <w:numId w:val="0"/>
        </w:numPr>
        <w:ind w:left="357" w:hanging="0"/>
        <w:jc w:val="center"/>
        <w:rPr>
          <w:caps/>
          <w:lang w:val="ru-RU"/>
        </w:rPr>
      </w:pPr>
      <w:bookmarkStart w:id="4" w:name="_Toc54646395"/>
      <w:bookmarkStart w:id="5" w:name="_Toc51339692"/>
      <w:bookmarkEnd w:id="4"/>
      <w:bookmarkEnd w:id="5"/>
      <w:r>
        <w:rPr>
          <w:lang w:val="ru-RU"/>
        </w:rPr>
        <w:t>Общие сведения</w:t>
      </w:r>
    </w:p>
    <w:p>
      <w:pPr>
        <w:pStyle w:val="Heading4"/>
        <w:numPr>
          <w:ilvl w:val="1"/>
          <w:numId w:val="1"/>
        </w:numPr>
        <w:rPr/>
      </w:pPr>
      <w:bookmarkStart w:id="6" w:name="_Toc46743505"/>
      <w:bookmarkStart w:id="7" w:name="_Toc54646396"/>
      <w:bookmarkEnd w:id="6"/>
      <w:bookmarkEnd w:id="7"/>
      <w:r>
        <w:rPr/>
        <w:t>Обозначения и сокращения</w:t>
      </w:r>
    </w:p>
    <w:p>
      <w:pPr>
        <w:pStyle w:val="Normal"/>
        <w:rPr>
          <w:rStyle w:val="Style8"/>
        </w:rPr>
      </w:pPr>
      <w:r>
        <w:rPr/>
      </w:r>
    </w:p>
    <w:tbl>
      <w:tblPr>
        <w:tblW w:w="9783" w:type="dxa"/>
        <w:jc w:val="center"/>
        <w:tblInd w:w="0" w:type="dxa"/>
        <w:tblLayout w:type="fixed"/>
        <w:tblCellMar>
          <w:top w:w="0" w:type="dxa"/>
          <w:left w:w="73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785"/>
        <w:gridCol w:w="7997"/>
      </w:tblGrid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Воздушная линия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ТП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Трансформаторная подстанция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АО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Акционерное общество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ООО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Общество с ограниченной ответственностью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ППР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Проект производства работ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ЛЭП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Линия электропередачи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ПУЭ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Правила устройства электроустановок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ПТЭ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Правила технической эксплуатации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СП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Свод правил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СНиП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Строительные нормы и правила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РД</w:t>
            </w:r>
          </w:p>
        </w:tc>
        <w:tc>
          <w:tcPr>
            <w:tcW w:w="79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Руководящие документы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</w:p>
        </w:tc>
        <w:tc>
          <w:tcPr>
            <w:tcW w:w="79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Инструкция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РЭС</w:t>
            </w:r>
          </w:p>
        </w:tc>
        <w:tc>
          <w:tcPr>
            <w:tcW w:w="79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Районные электрические сети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СанПиН</w:t>
            </w:r>
          </w:p>
        </w:tc>
        <w:tc>
          <w:tcPr>
            <w:tcW w:w="79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Санитарные правила и нормы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</w:t>
            </w:r>
          </w:p>
        </w:tc>
        <w:tc>
          <w:tcPr>
            <w:tcW w:w="79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Саморегулируемые организации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ТТ</w:t>
            </w:r>
          </w:p>
        </w:tc>
        <w:tc>
          <w:tcPr>
            <w:tcW w:w="79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Технические требования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ТЗ</w:t>
            </w:r>
          </w:p>
        </w:tc>
        <w:tc>
          <w:tcPr>
            <w:tcW w:w="79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Техническое задание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ТУ</w:t>
            </w:r>
          </w:p>
        </w:tc>
        <w:tc>
          <w:tcPr>
            <w:tcW w:w="79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Технические условия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ЭПУ</w:t>
            </w:r>
          </w:p>
        </w:tc>
        <w:tc>
          <w:tcPr>
            <w:tcW w:w="79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Энерго-принимающее устройства</w:t>
            </w:r>
          </w:p>
        </w:tc>
      </w:tr>
    </w:tbl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Heading4"/>
        <w:numPr>
          <w:ilvl w:val="1"/>
          <w:numId w:val="1"/>
        </w:numPr>
        <w:rPr/>
      </w:pPr>
      <w:bookmarkStart w:id="8" w:name="_Toc46743506"/>
      <w:bookmarkStart w:id="9" w:name="_Toc54646397"/>
      <w:bookmarkEnd w:id="8"/>
      <w:bookmarkEnd w:id="9"/>
      <w:r>
        <w:rPr/>
        <w:t>Наименование закупаемой продукции</w:t>
      </w:r>
    </w:p>
    <w:p>
      <w:pPr>
        <w:pStyle w:val="Normal"/>
        <w:widowControl w:val="false"/>
        <w:spacing w:lineRule="auto" w:line="228" w:before="0" w:after="0"/>
        <w:ind w:left="0" w:right="0" w:hanging="0"/>
        <w:contextualSpacing/>
        <w:jc w:val="left"/>
        <w:rPr>
          <w:b w:val="false"/>
          <w:bCs w:val="false"/>
        </w:rPr>
      </w:pPr>
      <w:r>
        <w:rPr>
          <w:rFonts w:eastAsia="Times New Roman" w:cs="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A"/>
          <w:kern w:val="0"/>
          <w:sz w:val="26"/>
          <w:szCs w:val="26"/>
          <w:u w:val="none"/>
          <w:shd w:fill="auto" w:val="clear"/>
          <w:em w:val="none"/>
          <w:lang w:val="ru-RU" w:eastAsia="en-US" w:bidi="ar-SA"/>
        </w:rPr>
        <w:t>"О</w:t>
      </w:r>
      <w:r>
        <w:rPr>
          <w:rFonts w:eastAsia="Times New Roman" w:cs=""/>
          <w:b w:val="false"/>
          <w:bCs w:val="false"/>
          <w:i w:val="false"/>
          <w:iCs/>
          <w:strike w:val="false"/>
          <w:dstrike w:val="false"/>
          <w:outline w:val="false"/>
          <w:shadow w:val="false"/>
          <w:color w:val="00000A"/>
          <w:kern w:val="0"/>
          <w:sz w:val="26"/>
          <w:szCs w:val="26"/>
          <w:u w:val="none"/>
          <w:shd w:fill="auto" w:val="clear"/>
          <w:em w:val="none"/>
          <w:lang w:val="ru-RU" w:eastAsia="ru-RU" w:bidi="ar-SA"/>
        </w:rPr>
        <w:t>КПД2 43.21.10 Мероприятия по подключению новых потребителей в рамках реализации проектов 4-ПТП</w:t>
      </w:r>
      <w:r>
        <w:rPr>
          <w:rFonts w:eastAsia="Times New Roman" w:cs="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A"/>
          <w:kern w:val="0"/>
          <w:sz w:val="26"/>
          <w:szCs w:val="26"/>
          <w:u w:val="none"/>
          <w:shd w:fill="auto" w:val="clear"/>
          <w:em w:val="none"/>
          <w:lang w:val="ru-RU" w:eastAsia="en-US" w:bidi="ar-SA"/>
        </w:rPr>
        <w:t>" для заявителей ИП Васильев А.Е., АО Сатис-ТЛ-94</w:t>
      </w:r>
    </w:p>
    <w:p>
      <w:pPr>
        <w:pStyle w:val="Normal"/>
        <w:bidi w:val="0"/>
        <w:jc w:val="left"/>
        <w:rPr>
          <w:b w:val="false"/>
          <w:bCs w:val="false"/>
          <w:i w:val="false"/>
          <w:i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</w:pP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</w:r>
    </w:p>
    <w:p>
      <w:pPr>
        <w:pStyle w:val="Normal"/>
        <w:widowControl w:val="false"/>
        <w:bidi w:val="0"/>
        <w:jc w:val="left"/>
        <w:rPr>
          <w:i w:val="false"/>
          <w:i w:val="false"/>
          <w:iCs w:val="false"/>
          <w:sz w:val="26"/>
          <w:szCs w:val="26"/>
        </w:rPr>
      </w:pPr>
      <w:r>
        <w:rPr>
          <w:rFonts w:eastAsia="Calibri" w:cs="" w:ascii="Liberation Serif" w:hAnsi="Liberation Serif" w:cstheme="minorBidi" w:eastAsiaTheme="minorHAnsi"/>
          <w:b/>
          <w:bCs/>
          <w:i w:val="false"/>
          <w:iCs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  <w:t xml:space="preserve">Заказчик: </w:t>
      </w:r>
      <w:r>
        <w:rPr>
          <w:rFonts w:eastAsia="Calibri" w:cs="" w:ascii="Liberation Serif" w:hAnsi="Liberation Serif" w:cstheme="minorBidi" w:eastAsiaTheme="minorHAnsi"/>
          <w:b w:val="false"/>
          <w:i w:val="false"/>
          <w:iCs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  <w:t xml:space="preserve"> </w:t>
      </w:r>
      <w:r>
        <w:rPr>
          <w:rFonts w:eastAsia="Calibri" w:cs="Times New Roman" w:eastAsiaTheme="minorHAnsi"/>
          <w:b w:val="false"/>
          <w:i w:val="false"/>
          <w:iCs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  <w:t>Акционерное общество «ДРСК» филиал «Хабаровские электрические сети» (сокращенное наименование: АО «ДРСК» «ХЭС»);</w:t>
      </w:r>
    </w:p>
    <w:p>
      <w:pPr>
        <w:pStyle w:val="Normal"/>
        <w:widowControl w:val="false"/>
        <w:bidi w:val="0"/>
        <w:jc w:val="left"/>
        <w:rPr>
          <w:i w:val="false"/>
          <w:i w:val="false"/>
          <w:iCs w:val="false"/>
          <w:sz w:val="26"/>
          <w:szCs w:val="26"/>
        </w:rPr>
      </w:pPr>
      <w:r>
        <w:rPr>
          <w:rFonts w:eastAsia="Calibri" w:cs="Times New Roman" w:eastAsiaTheme="minorHAnsi"/>
          <w:b w:val="false"/>
          <w:i w:val="false"/>
          <w:iCs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  <w:t>Адрес (Место нахождения): Хабаровский край, г. Хабаровск, ул. Промышленная 13.</w:t>
      </w:r>
      <w:bookmarkStart w:id="10" w:name="_Toc54646398"/>
    </w:p>
    <w:p>
      <w:pPr>
        <w:pStyle w:val="Heading4"/>
        <w:numPr>
          <w:ilvl w:val="1"/>
          <w:numId w:val="1"/>
        </w:numPr>
        <w:rPr/>
      </w:pPr>
      <w:bookmarkStart w:id="11" w:name="_Toc46743507"/>
      <w:r>
        <w:rPr/>
        <w:t xml:space="preserve">Цель </w:t>
      </w:r>
      <w:bookmarkEnd w:id="11"/>
      <w:r>
        <w:rPr>
          <w:lang w:val="ru-RU"/>
        </w:rPr>
        <w:t>выполнения работ</w:t>
      </w:r>
      <w:bookmarkEnd w:id="10"/>
      <w:r>
        <w:rPr/>
        <w:t xml:space="preserve"> </w:t>
      </w:r>
    </w:p>
    <w:p>
      <w:pPr>
        <w:pStyle w:val="Normal"/>
        <w:tabs>
          <w:tab w:val="clear" w:pos="708"/>
          <w:tab w:val="left" w:pos="1134" w:leader="none"/>
        </w:tabs>
        <w:ind w:firstLine="709"/>
        <w:jc w:val="both"/>
        <w:rPr>
          <w:color w:val="000000"/>
          <w:sz w:val="26"/>
          <w:szCs w:val="26"/>
        </w:rPr>
      </w:pPr>
      <w:r>
        <w:rPr>
          <w:rFonts w:ascii="Liberation Serif" w:hAnsi="Liberation Serif"/>
          <w:color w:val="000000"/>
          <w:sz w:val="26"/>
          <w:szCs w:val="26"/>
        </w:rPr>
        <w:t xml:space="preserve">Настоящие Технические требования составлены в целях выполнения мероприятий по технологическому присоединению энергопринимающих устройств заявителей к электрическим сетям Заказчика, путём строительства (реконструкции) объектов электросетевого хозяйства на территории Хабаровский край: </w:t>
      </w:r>
    </w:p>
    <w:p>
      <w:pPr>
        <w:pStyle w:val="Normal"/>
        <w:widowControl/>
        <w:jc w:val="both"/>
        <w:rPr>
          <w:b w:val="false"/>
          <w:bCs w:val="false"/>
        </w:rPr>
      </w:pPr>
      <w:r>
        <w:rPr>
          <w:rFonts w:ascii="Liberation Serif" w:hAnsi="Liberation Serif"/>
          <w:b w:val="false"/>
          <w:bCs w:val="false"/>
          <w:color w:val="000000"/>
          <w:sz w:val="26"/>
          <w:szCs w:val="26"/>
          <w:shd w:fill="auto" w:val="clear"/>
        </w:rPr>
        <w:t xml:space="preserve">1) ТПр - №4214/25-ХЭС от 21.11.25 заявитель Васильев Александр Евгеньевич ИП — </w:t>
      </w:r>
      <w:r>
        <w:rPr>
          <w:rFonts w:ascii="Liberation Serif" w:hAnsi="Liberation Serif"/>
          <w:b/>
          <w:bCs/>
          <w:color w:val="000000"/>
          <w:sz w:val="26"/>
          <w:szCs w:val="26"/>
          <w:shd w:fill="auto" w:val="clear"/>
        </w:rPr>
        <w:t xml:space="preserve">выполнение ПИР, СМР (в соответствии с приложение к ТТ № 3) </w:t>
      </w:r>
      <w:r>
        <w:rPr>
          <w:rFonts w:ascii="Liberation Serif" w:hAnsi="Liberation Serif"/>
          <w:b w:val="false"/>
          <w:bCs w:val="false"/>
          <w:color w:val="000000"/>
          <w:sz w:val="26"/>
          <w:szCs w:val="26"/>
          <w:shd w:fill="auto" w:val="clear"/>
        </w:rPr>
        <w:t>;</w:t>
      </w:r>
    </w:p>
    <w:p>
      <w:pPr>
        <w:pStyle w:val="Normal"/>
        <w:widowControl/>
        <w:jc w:val="both"/>
        <w:rPr>
          <w:b w:val="false"/>
          <w:bCs w:val="false"/>
        </w:rPr>
      </w:pPr>
      <w:r>
        <w:rPr>
          <w:rFonts w:ascii="Liberation Serif" w:hAnsi="Liberation Serif"/>
          <w:b w:val="false"/>
          <w:bCs w:val="false"/>
          <w:color w:val="000000"/>
          <w:sz w:val="26"/>
          <w:szCs w:val="26"/>
          <w:shd w:fill="auto" w:val="clear"/>
        </w:rPr>
        <w:t xml:space="preserve">2) ТПр- №3633/23 от 07.04.2023 заявитель Сатис-ТЛ-94 - </w:t>
      </w:r>
      <w:r>
        <w:rPr>
          <w:rFonts w:ascii="Liberation Serif" w:hAnsi="Liberation Serif"/>
          <w:b/>
          <w:bCs/>
          <w:color w:val="000000"/>
          <w:sz w:val="26"/>
          <w:szCs w:val="26"/>
          <w:shd w:fill="auto" w:val="clear"/>
        </w:rPr>
        <w:t>выполнение СМР (в соответствии с приложение к ТТ № 3)</w:t>
      </w:r>
    </w:p>
    <w:p>
      <w:pPr>
        <w:pStyle w:val="Normal"/>
        <w:tabs>
          <w:tab w:val="clear" w:pos="708"/>
          <w:tab w:val="left" w:pos="1695" w:leader="none"/>
        </w:tabs>
        <w:ind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color w:val="000000"/>
          <w:sz w:val="26"/>
          <w:szCs w:val="26"/>
        </w:rPr>
        <w:t>Планируемый объём выполняемых работ составляет не более</w:t>
      </w:r>
      <w:r>
        <w:rPr>
          <w:rFonts w:ascii="Liberation Serif" w:hAnsi="Liberation Serif"/>
          <w:color w:val="000000"/>
          <w:sz w:val="26"/>
          <w:szCs w:val="26"/>
          <w:shd w:fill="auto" w:val="clear"/>
        </w:rPr>
        <w:t xml:space="preserve"> 2 533 378,55</w:t>
      </w:r>
      <w:r>
        <w:rPr>
          <w:rFonts w:ascii="Liberation Serif" w:hAnsi="Liberation Serif"/>
          <w:color w:val="000000"/>
          <w:sz w:val="26"/>
          <w:szCs w:val="26"/>
        </w:rPr>
        <w:t xml:space="preserve"> руб. без учета НДС на весь срок действия договора.</w:t>
      </w:r>
    </w:p>
    <w:p>
      <w:pPr>
        <w:pStyle w:val="Normal"/>
        <w:tabs>
          <w:tab w:val="clear" w:pos="708"/>
          <w:tab w:val="left" w:pos="1695" w:leader="none"/>
        </w:tabs>
        <w:ind w:firstLine="709"/>
        <w:jc w:val="both"/>
        <w:rPr>
          <w:highlight w:val="yellow"/>
        </w:rPr>
      </w:pPr>
      <w:r>
        <w:rPr>
          <w:rFonts w:ascii="Liberation Serif" w:hAnsi="Liberation Serif"/>
          <w:color w:val="000000"/>
          <w:sz w:val="26"/>
          <w:szCs w:val="26"/>
        </w:rPr>
        <w:t>Выполнение инвестиционной программы филиала АО «Дальневосточная распределительная сетевая компания» «Хабаровские электрические сети» на 2026 г.</w:t>
      </w:r>
    </w:p>
    <w:p>
      <w:pPr>
        <w:pStyle w:val="Heading1"/>
        <w:spacing w:before="240" w:after="60"/>
        <w:ind w:left="0" w:right="0" w:hanging="0"/>
        <w:rPr>
          <w:rFonts w:ascii="Liberation Serif" w:hAnsi="Liberation Serif"/>
          <w:sz w:val="24"/>
          <w:szCs w:val="24"/>
          <w:shd w:fill="auto" w:val="clear"/>
          <w:lang w:val="ru-RU"/>
        </w:rPr>
      </w:pPr>
      <w:r>
        <w:rPr>
          <w:rFonts w:ascii="Liberation Serif" w:hAnsi="Liberation Serif"/>
          <w:sz w:val="24"/>
          <w:szCs w:val="24"/>
          <w:shd w:fill="auto" w:val="clear"/>
          <w:lang w:val="ru-RU"/>
        </w:rPr>
        <w:t xml:space="preserve">1.4. Существующее положение:  </w:t>
      </w:r>
    </w:p>
    <w:p>
      <w:pPr>
        <w:pStyle w:val="Heading1"/>
        <w:spacing w:before="240" w:after="60"/>
        <w:ind w:left="0" w:right="0" w:hanging="0"/>
        <w:rPr>
          <w:rFonts w:ascii="Liberation Serif" w:hAnsi="Liberation Serif"/>
          <w:sz w:val="24"/>
          <w:szCs w:val="24"/>
          <w:shd w:fill="auto" w:val="clear"/>
          <w:lang w:val="ru-RU"/>
        </w:rPr>
      </w:pPr>
      <w:r>
        <w:rPr>
          <w:rFonts w:ascii="Liberation Serif" w:hAnsi="Liberation Serif"/>
          <w:sz w:val="24"/>
          <w:szCs w:val="24"/>
          <w:shd w:fill="auto" w:val="clear"/>
          <w:lang w:val="ru-RU"/>
        </w:rPr>
        <w:t>Перечень объектов Заказчика передается Подрядчику при заключении дополнительного соглашения по форме Таблица № 1</w:t>
      </w:r>
    </w:p>
    <w:p>
      <w:pPr>
        <w:pStyle w:val="Normal"/>
        <w:spacing w:lineRule="auto" w:line="240" w:before="240" w:after="0"/>
        <w:jc w:val="both"/>
        <w:rPr>
          <w:rFonts w:ascii="Times New Roman" w:hAnsi="Times New Roman" w:eastAsia="Times New Roman" w:cs="Times New Roman"/>
          <w:bCs/>
          <w:i/>
          <w:i/>
          <w:sz w:val="24"/>
          <w:szCs w:val="24"/>
          <w:lang w:eastAsia="ru-RU"/>
        </w:rPr>
      </w:pPr>
      <w:r>
        <w:rPr>
          <w:rFonts w:eastAsia="Times New Roman" w:cs="Times New Roman"/>
          <w:bCs/>
          <w:i/>
          <w:sz w:val="24"/>
          <w:szCs w:val="24"/>
          <w:lang w:val="ru-RU" w:eastAsia="ru-RU"/>
        </w:rPr>
        <w:t>Таблица 1. Перечень объектов заказчика</w:t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669"/>
        <w:gridCol w:w="1830"/>
        <w:gridCol w:w="2520"/>
        <w:gridCol w:w="2456"/>
        <w:gridCol w:w="2446"/>
      </w:tblGrid>
      <w:tr>
        <w:trPr/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cs="Times New Roman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№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cs="Times New Roman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Наименование объекта</w:t>
            </w:r>
          </w:p>
          <w:p>
            <w:pPr>
              <w:pStyle w:val="Normal"/>
              <w:widowControl w:val="false"/>
              <w:spacing w:lineRule="auto" w:line="240" w:before="0" w:after="11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19"/>
              <w:jc w:val="center"/>
              <w:rPr>
                <w:rFonts w:cs="Times New Roman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Расположение объекта </w:t>
              <w:br/>
            </w:r>
            <w:r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>(место производства работ)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19"/>
              <w:jc w:val="center"/>
              <w:rPr>
                <w:rFonts w:cs="Times New Roman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Наименование основного средства (в отношении которого выполняются работы)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19"/>
              <w:jc w:val="center"/>
              <w:rPr>
                <w:rFonts w:cs="Times New Roman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Примечания</w:t>
            </w:r>
          </w:p>
        </w:tc>
      </w:tr>
      <w:tr>
        <w:trPr/>
        <w:tc>
          <w:tcPr>
            <w:tcW w:w="66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pacing w:before="0" w:after="120"/>
              <w:ind w:left="0" w:right="0" w:firstLine="283"/>
              <w:contextualSpacing w:val="false"/>
              <w:rPr>
                <w:bCs/>
                <w:i/>
                <w:i/>
                <w:sz w:val="24"/>
                <w:szCs w:val="24"/>
                <w:lang w:eastAsia="ru-RU"/>
              </w:rPr>
            </w:pPr>
            <w:r>
              <w:rPr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pacing w:before="0" w:after="120"/>
              <w:contextualSpacing w:val="false"/>
              <w:jc w:val="center"/>
              <w:rPr>
                <w:bCs/>
                <w:i/>
                <w:i/>
                <w:sz w:val="24"/>
                <w:szCs w:val="24"/>
                <w:lang w:eastAsia="ru-RU"/>
              </w:rPr>
            </w:pPr>
            <w:r>
              <w:rPr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tcW w:w="25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pacing w:before="0" w:after="120"/>
              <w:contextualSpacing w:val="false"/>
              <w:jc w:val="center"/>
              <w:rPr>
                <w:bCs/>
                <w:i/>
                <w:i/>
                <w:sz w:val="24"/>
                <w:szCs w:val="24"/>
                <w:lang w:eastAsia="ru-RU"/>
              </w:rPr>
            </w:pPr>
            <w:r>
              <w:rPr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tcW w:w="24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pacing w:before="0" w:after="120"/>
              <w:contextualSpacing w:val="false"/>
              <w:jc w:val="center"/>
              <w:rPr>
                <w:bCs/>
                <w:i/>
                <w:i/>
                <w:sz w:val="24"/>
                <w:szCs w:val="24"/>
                <w:lang w:eastAsia="ru-RU"/>
              </w:rPr>
            </w:pPr>
            <w:r>
              <w:rPr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tcW w:w="2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pacing w:before="0" w:after="120"/>
              <w:contextualSpacing w:val="false"/>
              <w:jc w:val="center"/>
              <w:rPr>
                <w:bCs/>
                <w:i/>
                <w:i/>
                <w:sz w:val="24"/>
                <w:szCs w:val="24"/>
                <w:lang w:eastAsia="ru-RU"/>
              </w:rPr>
            </w:pPr>
            <w:r>
              <w:rPr>
                <w:bCs/>
                <w:i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66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120"/>
              <w:ind w:left="0" w:right="0" w:firstLine="283"/>
              <w:contextualSpacing w:val="false"/>
              <w:rPr>
                <w:bCs/>
                <w:i/>
                <w:i/>
                <w:sz w:val="22"/>
                <w:szCs w:val="22"/>
                <w:lang w:eastAsia="ru-RU"/>
              </w:rPr>
            </w:pPr>
            <w:r>
              <w:rPr>
                <w:bCs/>
                <w:i/>
                <w:sz w:val="22"/>
                <w:szCs w:val="22"/>
                <w:lang w:eastAsia="ru-RU"/>
              </w:rPr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jc w:val="both"/>
              <w:rPr>
                <w:b w:val="false"/>
                <w:bCs w:val="false"/>
                <w:sz w:val="18"/>
                <w:szCs w:val="18"/>
              </w:rPr>
            </w:pPr>
            <w:r>
              <w:rPr>
                <w:b w:val="false"/>
                <w:bCs w:val="false"/>
                <w:sz w:val="18"/>
                <w:szCs w:val="18"/>
              </w:rPr>
              <w:t xml:space="preserve">1. ВЛ-6кВ отпайка от опоры № 138/5 Ф-1 ПС Горький </w:t>
            </w:r>
            <w:r>
              <w:rPr>
                <w:b w:val="false"/>
                <w:bCs w:val="false"/>
                <w:color w:val="000000"/>
                <w:sz w:val="18"/>
                <w:szCs w:val="18"/>
              </w:rPr>
              <w:t>с.Гаровка-1</w:t>
            </w:r>
            <w:r>
              <w:rPr>
                <w:b w:val="false"/>
                <w:bCs w:val="false"/>
                <w:sz w:val="18"/>
                <w:szCs w:val="18"/>
              </w:rPr>
              <w:t xml:space="preserve"> протяженностью 0,120 км (заявитель Васильев Александр Евгеньевич ИП) КОД НЗС HB0015254;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jc w:val="both"/>
              <w:rPr>
                <w:b w:val="false"/>
                <w:bCs w:val="false"/>
                <w:sz w:val="18"/>
                <w:szCs w:val="18"/>
              </w:rPr>
            </w:pPr>
            <w:r>
              <w:rPr>
                <w:b w:val="false"/>
                <w:bCs w:val="false"/>
                <w:sz w:val="18"/>
                <w:szCs w:val="18"/>
              </w:rPr>
              <w:t xml:space="preserve">2. </w:t>
            </w:r>
            <w:r>
              <w:rPr>
                <w:b w:val="false"/>
                <w:bCs w:val="false"/>
                <w:sz w:val="20"/>
                <w:szCs w:val="20"/>
              </w:rPr>
              <w:t>Строительство «ПКУ ИСУЭ Южного РЭС» до 150,0 кВт (монтаж высоковольтного прибора учета  6 кВ) (заявитель Васильев Александр Евгеньевич ИП) КОД НЗС HB0015255</w:t>
            </w:r>
          </w:p>
        </w:tc>
        <w:tc>
          <w:tcPr>
            <w:tcW w:w="25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  <w:shd w:fill="auto" w:val="clear"/>
              </w:rPr>
              <w:t>Хабаровский край, Хабаровский район, с.Гаровка-1, примыкающий с юго-восточной стороны к участку с кадастровым номером 27:17:0329204:2158; ПИР и СМР</w:t>
            </w:r>
          </w:p>
        </w:tc>
        <w:tc>
          <w:tcPr>
            <w:tcW w:w="24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jc w:val="both"/>
              <w:rPr>
                <w:b w:val="false"/>
                <w:bCs w:val="false"/>
                <w:sz w:val="18"/>
                <w:szCs w:val="18"/>
              </w:rPr>
            </w:pPr>
            <w:r>
              <w:rPr>
                <w:b w:val="false"/>
                <w:bCs w:val="false"/>
                <w:sz w:val="18"/>
                <w:szCs w:val="18"/>
              </w:rPr>
              <w:t xml:space="preserve">ПС Горький </w:t>
            </w:r>
            <w:r>
              <w:rPr>
                <w:b w:val="false"/>
                <w:bCs w:val="false"/>
                <w:color w:val="000000"/>
                <w:sz w:val="18"/>
                <w:szCs w:val="18"/>
              </w:rPr>
              <w:t>с.Гаровка-1</w:t>
            </w:r>
          </w:p>
        </w:tc>
        <w:tc>
          <w:tcPr>
            <w:tcW w:w="2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6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120"/>
              <w:ind w:left="0" w:right="0" w:firstLine="283"/>
              <w:contextualSpacing w:val="false"/>
              <w:rPr>
                <w:bCs/>
                <w:i/>
                <w:i/>
                <w:sz w:val="22"/>
                <w:szCs w:val="22"/>
                <w:lang w:eastAsia="ru-RU"/>
              </w:rPr>
            </w:pPr>
            <w:r>
              <w:rPr>
                <w:bCs/>
                <w:i/>
                <w:sz w:val="22"/>
                <w:szCs w:val="22"/>
                <w:lang w:eastAsia="ru-RU"/>
              </w:rPr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jc w:val="both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/>
                <w:sz w:val="20"/>
                <w:szCs w:val="20"/>
              </w:rPr>
              <w:t>1. ВЛ-6кВ отпайка от опоры № 35  Ф-18 ПС Березовка до опоры № 36/10/26 Ф-33 ПС РЦ г. Хабаровск  протяженностью 0,890 км (</w:t>
            </w:r>
            <w:r>
              <w:rPr>
                <w:b w:val="false"/>
                <w:bCs w:val="false"/>
                <w:sz w:val="20"/>
                <w:szCs w:val="20"/>
              </w:rPr>
              <w:t>заявитель: Сатис-ТЛ-94 АО) КОД НЗС HB0011173;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jc w:val="both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2. Реконструкция «ВЛ-6 кВ ф-33 от опоры №15 ПС РЦ»   от опоры № 36/14 г. Хабаровск с переводом питания (заявитель: Сатис-ТЛ-94 АО) (Инв№HB037093) КОД НЗС HB0011174;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jc w:val="both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 xml:space="preserve">3. </w:t>
            </w:r>
            <w:r>
              <w:rPr>
                <w:b/>
                <w:bCs w:val="false"/>
                <w:color w:val="000000"/>
                <w:sz w:val="26"/>
                <w:szCs w:val="26"/>
              </w:rPr>
              <w:t xml:space="preserve"> </w:t>
            </w:r>
            <w:r>
              <w:rPr>
                <w:b w:val="false"/>
                <w:bCs w:val="false"/>
                <w:sz w:val="20"/>
                <w:szCs w:val="20"/>
              </w:rPr>
              <w:t>Строительство  МТП 160/6/0,4</w:t>
            </w:r>
            <w:r>
              <w:rPr>
                <w:b w:val="false"/>
                <w:bCs w:val="false"/>
                <w:color w:val="000000"/>
                <w:sz w:val="20"/>
                <w:szCs w:val="20"/>
              </w:rPr>
              <w:t xml:space="preserve"> г. Хабаровск (</w:t>
            </w:r>
            <w:r>
              <w:rPr>
                <w:b w:val="false"/>
                <w:bCs w:val="false"/>
                <w:sz w:val="20"/>
                <w:szCs w:val="20"/>
              </w:rPr>
              <w:t>заявитель: Сатис-ТЛ-94 АО ) КОД НЗС HB0011175</w:t>
            </w:r>
          </w:p>
        </w:tc>
        <w:tc>
          <w:tcPr>
            <w:tcW w:w="25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Хабаровский край, Железнодорожный р-н, г. Хабаровск  Трехгорная ул; ПИР и СМР</w:t>
            </w:r>
          </w:p>
        </w:tc>
        <w:tc>
          <w:tcPr>
            <w:tcW w:w="24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jc w:val="both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/>
                <w:sz w:val="20"/>
                <w:szCs w:val="20"/>
              </w:rPr>
              <w:t>ПС Березовка</w:t>
            </w:r>
          </w:p>
        </w:tc>
        <w:tc>
          <w:tcPr>
            <w:tcW w:w="2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Heading1"/>
        <w:keepLines/>
        <w:ind w:left="1247" w:right="0" w:hanging="0"/>
        <w:jc w:val="center"/>
        <w:rPr>
          <w:iCs/>
        </w:rPr>
      </w:pPr>
      <w:r>
        <w:rPr>
          <w:iCs/>
        </w:rPr>
      </w:r>
    </w:p>
    <w:p>
      <w:pPr>
        <w:pStyle w:val="Heading1"/>
        <w:ind w:left="1247" w:right="0" w:hanging="0"/>
        <w:jc w:val="lef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Heading1"/>
        <w:keepLines/>
        <w:numPr>
          <w:ilvl w:val="0"/>
          <w:numId w:val="1"/>
        </w:numPr>
        <w:ind w:left="357" w:hanging="357"/>
        <w:jc w:val="center"/>
        <w:rPr/>
      </w:pPr>
      <w:r>
        <w:rPr>
          <w:iCs/>
        </w:rPr>
        <w:t>Требования к продукции</w:t>
      </w:r>
    </w:p>
    <w:p>
      <w:pPr>
        <w:pStyle w:val="Heading4"/>
        <w:numPr>
          <w:ilvl w:val="1"/>
          <w:numId w:val="1"/>
        </w:numPr>
        <w:rPr/>
      </w:pPr>
      <w:bookmarkStart w:id="12" w:name="_Toc54646404"/>
      <w:r>
        <w:rPr/>
        <w:t xml:space="preserve">Требования к объемам и срокам </w:t>
      </w:r>
      <w:bookmarkEnd w:id="12"/>
      <w:r>
        <w:rPr>
          <w:lang w:val="ru-RU"/>
        </w:rPr>
        <w:t>выполнения работ</w:t>
      </w:r>
    </w:p>
    <w:p>
      <w:pPr>
        <w:pStyle w:val="Heading3"/>
        <w:numPr>
          <w:ilvl w:val="2"/>
          <w:numId w:val="1"/>
        </w:numPr>
        <w:rPr/>
      </w:pPr>
      <w:bookmarkStart w:id="13" w:name="_Toc54646405"/>
      <w:bookmarkEnd w:id="13"/>
      <w:r>
        <w:rPr>
          <w:lang w:val="ru-RU"/>
        </w:rPr>
        <w:t>Требования к видам и объемам работ</w:t>
      </w:r>
    </w:p>
    <w:p>
      <w:pPr>
        <w:pStyle w:val="Normal"/>
        <w:keepLines/>
        <w:tabs>
          <w:tab w:val="clear" w:pos="708"/>
          <w:tab w:val="left" w:pos="1695" w:leader="none"/>
        </w:tabs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  <w:color w:val="000000"/>
          <w:sz w:val="26"/>
          <w:szCs w:val="26"/>
        </w:rPr>
        <w:t>Конкретные объёмы выполняемых работ определяются дополнительными соглашениями к заключенному договору (п. 1.3 настоящих Технических требований -   далее ТТ), оформляемыми Заказчиком по мере возникновения потребности в выполнении подрядных работ.</w:t>
      </w:r>
    </w:p>
    <w:p>
      <w:pPr>
        <w:pStyle w:val="Normal"/>
        <w:tabs>
          <w:tab w:val="clear" w:pos="708"/>
          <w:tab w:val="left" w:pos="540" w:leader="none"/>
        </w:tabs>
        <w:spacing w:lineRule="auto" w:line="240" w:before="0" w:after="0"/>
        <w:ind w:firstLine="624"/>
        <w:jc w:val="both"/>
        <w:rPr>
          <w:rFonts w:ascii="Liberation Serif" w:hAnsi="Liberation Serif"/>
          <w:color w:val="111111"/>
          <w:highlight w:val="none"/>
          <w:shd w:fill="auto" w:val="clear"/>
        </w:rPr>
      </w:pPr>
      <w:r>
        <w:rPr>
          <w:rFonts w:eastAsia="Times New Roman" w:cs="Times New Roman" w:ascii="Liberation Serif" w:hAnsi="Liberation Serif"/>
          <w:color w:val="111111"/>
          <w:sz w:val="26"/>
          <w:szCs w:val="26"/>
          <w:shd w:fill="auto" w:val="clear"/>
          <w:lang w:eastAsia="ru-RU"/>
        </w:rPr>
        <w:t>Стоимость подрядных работ в оформляемых дополнительных соглашениях определяется на основании проектно-сметной документацией, с применением тендерного коэффициента, предлагаемого Участником в своей заявке на этапе закупочной процедуры, с учетом конкретных объемов работ.</w:t>
      </w:r>
    </w:p>
    <w:p>
      <w:pPr>
        <w:pStyle w:val="Normal"/>
        <w:tabs>
          <w:tab w:val="clear" w:pos="708"/>
          <w:tab w:val="left" w:pos="540" w:leader="none"/>
        </w:tabs>
        <w:ind w:firstLine="709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color w:val="000000"/>
          <w:sz w:val="26"/>
          <w:szCs w:val="26"/>
        </w:rPr>
        <w:t xml:space="preserve">По результатам настоящей конкурентной процедуры Договор будет заключаться с </w:t>
      </w:r>
      <w:r>
        <w:rPr>
          <w:rFonts w:eastAsia="Calibri" w:ascii="Liberation Serif" w:hAnsi="Liberation Serif" w:eastAsiaTheme="minorHAnsi"/>
          <w:color w:val="000000"/>
          <w:sz w:val="26"/>
          <w:szCs w:val="26"/>
          <w:shd w:fill="auto" w:val="clear"/>
        </w:rPr>
        <w:t xml:space="preserve">предельной стоимостью 2 533 378,55 рублей (два миллиона пятьсот тридцать три тысячи триста семьдесят восемь) рублей 55 копейка без учета НДС. </w:t>
      </w:r>
    </w:p>
    <w:p>
      <w:pPr>
        <w:pStyle w:val="Normal"/>
        <w:ind w:firstLine="709"/>
        <w:jc w:val="both"/>
        <w:rPr>
          <w:rFonts w:eastAsia="Calibri"/>
          <w:i/>
          <w:i/>
          <w:sz w:val="26"/>
          <w:szCs w:val="26"/>
        </w:rPr>
      </w:pPr>
      <w:r>
        <w:rPr>
          <w:rFonts w:eastAsia="Calibri" w:ascii="Liberation Serif" w:hAnsi="Liberation Serif" w:eastAsiaTheme="minorHAnsi"/>
          <w:sz w:val="26"/>
          <w:szCs w:val="26"/>
        </w:rPr>
        <w:t>Для оценки заявок Участников настоящей конкурентной закупки</w:t>
      </w:r>
      <w:bookmarkStart w:id="14" w:name="_GoBack1"/>
      <w:bookmarkEnd w:id="14"/>
      <w:r>
        <w:rPr>
          <w:rFonts w:eastAsia="Calibri" w:ascii="Liberation Serif" w:hAnsi="Liberation Serif" w:eastAsiaTheme="minorHAnsi"/>
          <w:sz w:val="26"/>
          <w:szCs w:val="26"/>
        </w:rPr>
        <w:t xml:space="preserve"> будет использоваться </w:t>
      </w:r>
      <w:r>
        <w:rPr>
          <w:rFonts w:eastAsia="Calibri" w:ascii="Liberation Serif" w:hAnsi="Liberation Serif" w:eastAsiaTheme="minorHAnsi"/>
          <w:b/>
          <w:sz w:val="26"/>
          <w:szCs w:val="26"/>
        </w:rPr>
        <w:t>Понижающий коэффициент K1 -  тендерный коэффициент</w:t>
      </w:r>
      <w:r>
        <w:rPr>
          <w:rFonts w:eastAsia="Calibri" w:ascii="Liberation Serif" w:hAnsi="Liberation Serif" w:eastAsiaTheme="minorHAnsi"/>
          <w:sz w:val="26"/>
          <w:szCs w:val="26"/>
        </w:rPr>
        <w:t>.</w:t>
      </w:r>
    </w:p>
    <w:p>
      <w:pPr>
        <w:pStyle w:val="Normal"/>
        <w:spacing w:lineRule="auto" w:line="240" w:before="0" w:after="0"/>
        <w:ind w:firstLine="624"/>
        <w:jc w:val="both"/>
        <w:rPr>
          <w:rFonts w:eastAsia="Calibri" w:eastAsiaTheme="minorHAnsi"/>
          <w:highlight w:val="none"/>
          <w:shd w:fill="auto" w:val="clear"/>
        </w:rPr>
      </w:pPr>
      <w:r>
        <w:rPr>
          <w:rFonts w:eastAsia="Calibri" w:cs="Times New Roman" w:eastAsiaTheme="minorHAnsi"/>
          <w:sz w:val="26"/>
          <w:szCs w:val="26"/>
          <w:shd w:fill="auto" w:val="clear"/>
          <w:lang w:eastAsia="ru-RU"/>
        </w:rPr>
        <w:t>Требования к документации по ценообразованию на этапе закупки представлены в пункте 3 настоящих ТТ.</w:t>
      </w:r>
    </w:p>
    <w:p>
      <w:pPr>
        <w:pStyle w:val="Normal"/>
        <w:ind w:hanging="0"/>
        <w:jc w:val="both"/>
        <w:rPr/>
      </w:pPr>
      <w:r>
        <w:rPr/>
      </w:r>
    </w:p>
    <w:p>
      <w:pPr>
        <w:pStyle w:val="Heading3"/>
        <w:numPr>
          <w:ilvl w:val="2"/>
          <w:numId w:val="1"/>
        </w:numPr>
        <w:ind w:left="1247" w:hanging="1304"/>
        <w:rPr>
          <w:lang w:val="ru-RU"/>
        </w:rPr>
      </w:pPr>
      <w:r>
        <w:rPr>
          <w:lang w:val="ru-RU"/>
        </w:rPr>
        <w:t>Требования к срокам выполнения работ</w:t>
      </w:r>
    </w:p>
    <w:p>
      <w:pPr>
        <w:pStyle w:val="Heading3"/>
        <w:tabs>
          <w:tab w:val="clear" w:pos="0"/>
        </w:tabs>
        <w:ind w:left="-57" w:hanging="0"/>
        <w:rPr>
          <w:b w:val="false"/>
          <w:bCs w:val="false"/>
          <w:lang w:val="ru-RU"/>
        </w:rPr>
      </w:pPr>
      <w:r>
        <w:rPr>
          <w:b w:val="false"/>
          <w:bCs w:val="false"/>
          <w:lang w:val="ru-RU"/>
        </w:rPr>
        <w:t xml:space="preserve">Общий срок выполнения работ: начало работ: с даты, следующей за датой заключения Договора; </w:t>
      </w:r>
    </w:p>
    <w:p>
      <w:pPr>
        <w:pStyle w:val="Heading3"/>
        <w:tabs>
          <w:tab w:val="clear" w:pos="0"/>
        </w:tabs>
        <w:ind w:left="-57" w:hanging="0"/>
        <w:rPr>
          <w:b w:val="false"/>
          <w:bCs w:val="false"/>
          <w:lang w:val="ru-RU"/>
        </w:rPr>
      </w:pPr>
      <w:r>
        <w:rPr>
          <w:b w:val="false"/>
          <w:bCs w:val="false"/>
          <w:lang w:val="ru-RU"/>
        </w:rPr>
        <w:t>Окончание работ: 31.12.2026 г</w:t>
      </w:r>
    </w:p>
    <w:p>
      <w:pPr>
        <w:pStyle w:val="Heading1"/>
        <w:keepLines/>
        <w:tabs>
          <w:tab w:val="clear" w:pos="0"/>
        </w:tabs>
        <w:spacing w:before="0" w:after="60"/>
        <w:ind w:left="0" w:hanging="0"/>
        <w:rPr>
          <w:sz w:val="24"/>
          <w:szCs w:val="24"/>
          <w:lang w:val="ru-RU"/>
        </w:rPr>
      </w:pPr>
      <w:bookmarkStart w:id="15" w:name="_Toc51339697"/>
      <w:bookmarkStart w:id="16" w:name="_Toc50125127"/>
      <w:bookmarkStart w:id="17" w:name="_Toc54646408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1</w:t>
      </w:r>
      <w:r>
        <w:rPr>
          <w:sz w:val="24"/>
          <w:szCs w:val="24"/>
        </w:rPr>
        <w:t xml:space="preserve">. </w:t>
      </w:r>
      <w:bookmarkStart w:id="18" w:name="_Hlk50465284"/>
      <w:r>
        <w:rPr>
          <w:sz w:val="24"/>
          <w:szCs w:val="24"/>
        </w:rPr>
        <w:t xml:space="preserve">Требования по срокам </w:t>
      </w:r>
      <w:bookmarkEnd w:id="15"/>
      <w:bookmarkEnd w:id="16"/>
      <w:bookmarkEnd w:id="17"/>
      <w:bookmarkEnd w:id="18"/>
      <w:r>
        <w:rPr>
          <w:sz w:val="24"/>
          <w:szCs w:val="24"/>
          <w:lang w:val="ru-RU"/>
        </w:rPr>
        <w:t>выполнения работ</w:t>
      </w:r>
    </w:p>
    <w:tbl>
      <w:tblPr>
        <w:tblW w:w="9776" w:type="dxa"/>
        <w:jc w:val="left"/>
        <w:tblInd w:w="43" w:type="dxa"/>
        <w:tblLayout w:type="fixed"/>
        <w:tblCellMar>
          <w:top w:w="0" w:type="dxa"/>
          <w:left w:w="73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65"/>
        <w:gridCol w:w="3828"/>
        <w:gridCol w:w="2268"/>
        <w:gridCol w:w="3114"/>
      </w:tblGrid>
      <w:tr>
        <w:trPr/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3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>
        <w:trPr/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Style36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Style36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rPr>
                <w:color w:val="auto"/>
              </w:rPr>
            </w:pPr>
            <w:r>
              <w:rPr>
                <w:color w:val="auto"/>
              </w:rPr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before="40" w:after="40"/>
              <w:ind w:left="57" w:right="57" w:hanging="0"/>
              <w:rPr>
                <w:color w:val="auto"/>
              </w:rPr>
            </w:pPr>
            <w:r>
              <w:rPr>
                <w:rFonts w:ascii="Liberation Serif" w:hAnsi="Liberation Serif"/>
                <w:color w:val="auto"/>
                <w:sz w:val="26"/>
                <w:szCs w:val="26"/>
              </w:rPr>
              <w:t>Кадастровые работы.</w:t>
            </w:r>
          </w:p>
          <w:p>
            <w:pPr>
              <w:pStyle w:val="ListParagraph"/>
              <w:widowControl w:val="false"/>
              <w:ind w:left="0" w:right="0" w:hanging="0"/>
              <w:jc w:val="both"/>
              <w:rPr>
                <w:strike w:val="false"/>
                <w:dstrike w:val="false"/>
                <w:color w:val="auto"/>
                <w:sz w:val="26"/>
                <w:szCs w:val="26"/>
              </w:rPr>
            </w:pPr>
            <w:r>
              <w:rPr>
                <w:rFonts w:ascii="Liberation Serif" w:hAnsi="Liberation Serif"/>
                <w:i/>
                <w:strike w:val="false"/>
                <w:dstrike w:val="false"/>
                <w:color w:val="auto"/>
                <w:sz w:val="24"/>
                <w:szCs w:val="24"/>
                <w:lang w:val="ru-RU" w:eastAsia="ru-RU"/>
              </w:rPr>
              <w:t>Выполнение работ, в результате которых уполномоченные органы власти выдают разрешение на размещение объекта, принимают решение об установлении публичного сервитута; установление сервитута в порядке установленном Гражданским кодексом РФ, главой V.3 Земельного кодекса РФ. Закрепление границ земельного участка на местности.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before="40" w:after="40"/>
              <w:ind w:left="57" w:right="57" w:hanging="0"/>
              <w:rPr>
                <w:sz w:val="26"/>
                <w:szCs w:val="26"/>
              </w:rPr>
            </w:pPr>
            <w:r>
              <w:rPr>
                <w:rFonts w:ascii="Liberation Serif" w:hAnsi="Liberation Serif"/>
                <w:i/>
                <w:iCs/>
                <w:sz w:val="26"/>
                <w:szCs w:val="26"/>
              </w:rPr>
              <w:t>с момента заключения дополнительного соглашения к договору подряда</w:t>
            </w:r>
          </w:p>
        </w:tc>
        <w:tc>
          <w:tcPr>
            <w:tcW w:w="3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before="40" w:after="40"/>
              <w:ind w:left="57" w:right="57" w:hanging="0"/>
              <w:rPr>
                <w:sz w:val="26"/>
                <w:szCs w:val="26"/>
              </w:rPr>
            </w:pPr>
            <w:r>
              <w:rPr>
                <w:rFonts w:ascii="Liberation Serif" w:hAnsi="Liberation Serif"/>
                <w:i/>
                <w:iCs/>
                <w:sz w:val="26"/>
                <w:szCs w:val="26"/>
              </w:rPr>
              <w:t>в течение 15 календарных дней</w:t>
            </w:r>
          </w:p>
        </w:tc>
      </w:tr>
      <w:tr>
        <w:trPr/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rPr/>
            </w:pPr>
            <w:r>
              <w:rPr/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before="40" w:after="40"/>
              <w:ind w:left="57" w:right="57" w:hanging="0"/>
              <w:rPr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Проектно-изыскательские работы.</w:t>
            </w:r>
          </w:p>
          <w:p>
            <w:pPr>
              <w:pStyle w:val="Normal"/>
              <w:widowControl w:val="false"/>
              <w:spacing w:before="40" w:after="40"/>
              <w:ind w:left="57" w:right="57" w:hanging="0"/>
              <w:rPr>
                <w:sz w:val="26"/>
                <w:szCs w:val="26"/>
              </w:rPr>
            </w:pPr>
            <w:r>
              <w:rPr>
                <w:rFonts w:ascii="Liberation Serif" w:hAnsi="Liberation Serif"/>
                <w:i/>
                <w:sz w:val="26"/>
                <w:szCs w:val="26"/>
              </w:rPr>
              <w:t>Разработка и предоставление Заказчику рабочей документации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before="40" w:after="40"/>
              <w:ind w:left="57" w:right="57" w:hanging="0"/>
              <w:rPr>
                <w:sz w:val="26"/>
                <w:szCs w:val="26"/>
              </w:rPr>
            </w:pPr>
            <w:r>
              <w:rPr>
                <w:rFonts w:ascii="Liberation Serif" w:hAnsi="Liberation Serif"/>
                <w:i/>
                <w:iCs/>
                <w:sz w:val="26"/>
                <w:szCs w:val="26"/>
              </w:rPr>
              <w:t>с момента заключения дополнительного соглашения к договору подряда</w:t>
            </w:r>
          </w:p>
        </w:tc>
        <w:tc>
          <w:tcPr>
            <w:tcW w:w="3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before="40" w:after="40"/>
              <w:ind w:left="57" w:right="57" w:hanging="0"/>
              <w:rPr>
                <w:sz w:val="26"/>
                <w:szCs w:val="26"/>
              </w:rPr>
            </w:pPr>
            <w:r>
              <w:rPr>
                <w:rFonts w:ascii="Liberation Serif" w:hAnsi="Liberation Serif"/>
                <w:i/>
                <w:iCs/>
                <w:sz w:val="26"/>
                <w:szCs w:val="26"/>
              </w:rPr>
              <w:t>в течение 30 календарных дней</w:t>
            </w:r>
          </w:p>
        </w:tc>
      </w:tr>
      <w:tr>
        <w:trPr/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rPr/>
            </w:pPr>
            <w:r>
              <w:rPr/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before="40" w:after="40"/>
              <w:ind w:left="57" w:right="57" w:hanging="0"/>
              <w:rPr>
                <w:sz w:val="26"/>
                <w:szCs w:val="26"/>
              </w:rPr>
            </w:pPr>
            <w:r>
              <w:rPr>
                <w:rFonts w:ascii="Liberation Serif" w:hAnsi="Liberation Serif"/>
                <w:i/>
                <w:sz w:val="26"/>
                <w:szCs w:val="26"/>
              </w:rPr>
              <w:t>Строительно-монтажные работы по строительству и реконструкции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before="40" w:after="40"/>
              <w:ind w:left="57" w:right="57" w:hanging="0"/>
              <w:rPr>
                <w:sz w:val="26"/>
                <w:szCs w:val="26"/>
              </w:rPr>
            </w:pPr>
            <w:r>
              <w:rPr>
                <w:rFonts w:ascii="Liberation Serif" w:hAnsi="Liberation Serif"/>
                <w:i/>
                <w:iCs/>
                <w:sz w:val="26"/>
                <w:szCs w:val="26"/>
              </w:rPr>
              <w:t>с момента заключения дополнительного соглашения к договору подряда</w:t>
            </w:r>
          </w:p>
        </w:tc>
        <w:tc>
          <w:tcPr>
            <w:tcW w:w="3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before="40" w:after="40"/>
              <w:ind w:left="57" w:right="57" w:hanging="0"/>
              <w:rPr>
                <w:sz w:val="26"/>
                <w:szCs w:val="26"/>
              </w:rPr>
            </w:pPr>
            <w:r>
              <w:rPr>
                <w:rFonts w:ascii="Liberation Serif" w:hAnsi="Liberation Serif"/>
                <w:i/>
                <w:iCs/>
                <w:sz w:val="26"/>
                <w:szCs w:val="26"/>
              </w:rPr>
              <w:t>в течение 60 календарных дней</w:t>
            </w:r>
          </w:p>
        </w:tc>
      </w:tr>
    </w:tbl>
    <w:p>
      <w:pPr>
        <w:sectPr>
          <w:headerReference w:type="default" r:id="rId2"/>
          <w:headerReference w:type="first" r:id="rId3"/>
          <w:type w:val="nextPage"/>
          <w:pgSz w:w="11906" w:h="16838"/>
          <w:pgMar w:left="1134" w:right="851" w:gutter="0" w:header="680" w:top="1134" w:footer="0" w:bottom="992"/>
          <w:pgNumType w:fmt="decimal"/>
          <w:formProt w:val="false"/>
          <w:titlePg/>
          <w:textDirection w:val="lrTb"/>
          <w:docGrid w:type="default" w:linePitch="360" w:charSpace="0"/>
        </w:sectPr>
      </w:pPr>
    </w:p>
    <w:p>
      <w:pPr>
        <w:pStyle w:val="Heading4"/>
        <w:numPr>
          <w:ilvl w:val="1"/>
          <w:numId w:val="1"/>
        </w:numPr>
        <w:rPr/>
      </w:pPr>
      <w:bookmarkStart w:id="19" w:name="_Toc54646410"/>
      <w:bookmarkStart w:id="20" w:name="_Toc51339698"/>
      <w:r>
        <w:rPr/>
        <w:t xml:space="preserve">Требования к </w:t>
      </w:r>
      <w:r>
        <w:rPr>
          <w:lang w:val="ru-RU"/>
        </w:rPr>
        <w:t>качеству работ</w:t>
      </w:r>
    </w:p>
    <w:p>
      <w:pPr>
        <w:pStyle w:val="Heading1"/>
        <w:keepLines/>
        <w:tabs>
          <w:tab w:val="clear" w:pos="0"/>
        </w:tabs>
        <w:spacing w:before="240" w:after="60"/>
        <w:ind w:left="0" w:hanging="0"/>
        <w:rPr>
          <w:sz w:val="24"/>
          <w:szCs w:val="24"/>
        </w:rPr>
      </w:pPr>
      <w:r>
        <w:rPr>
          <w:sz w:val="24"/>
          <w:szCs w:val="24"/>
        </w:rPr>
        <w:t>Таблица </w:t>
      </w:r>
      <w:r>
        <w:rPr>
          <w:sz w:val="24"/>
          <w:szCs w:val="24"/>
          <w:lang w:val="ru-RU"/>
        </w:rPr>
        <w:t>2</w:t>
      </w:r>
      <w:r>
        <w:rPr>
          <w:sz w:val="24"/>
          <w:szCs w:val="24"/>
        </w:rPr>
        <w:t xml:space="preserve">. Требования к </w:t>
      </w:r>
      <w:bookmarkEnd w:id="19"/>
      <w:bookmarkEnd w:id="20"/>
      <w:r>
        <w:rPr>
          <w:sz w:val="24"/>
          <w:szCs w:val="24"/>
          <w:lang w:val="ru-RU"/>
        </w:rPr>
        <w:t xml:space="preserve">качеству </w:t>
      </w:r>
    </w:p>
    <w:p>
      <w:pPr>
        <w:pStyle w:val="Normal"/>
        <w:widowControl w:val="false"/>
        <w:spacing w:lineRule="auto" w:line="228" w:before="0" w:after="0"/>
        <w:ind w:left="0" w:right="0" w:hanging="0"/>
        <w:contextualSpacing/>
        <w:jc w:val="left"/>
        <w:rPr>
          <w:b w:val="false"/>
          <w:bCs w:val="false"/>
        </w:rPr>
      </w:pPr>
      <w:r>
        <w:rPr>
          <w:rFonts w:eastAsia="Times New Roman" w:cs="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A"/>
          <w:kern w:val="0"/>
          <w:sz w:val="26"/>
          <w:szCs w:val="26"/>
          <w:u w:val="none"/>
          <w:shd w:fill="auto" w:val="clear"/>
          <w:em w:val="none"/>
          <w:lang w:val="ru-RU" w:eastAsia="en-US" w:bidi="ar-SA"/>
        </w:rPr>
        <w:t>"О</w:t>
      </w:r>
      <w:r>
        <w:rPr>
          <w:rFonts w:eastAsia="Times New Roman" w:cs=""/>
          <w:b w:val="false"/>
          <w:bCs w:val="false"/>
          <w:i w:val="false"/>
          <w:iCs/>
          <w:strike w:val="false"/>
          <w:dstrike w:val="false"/>
          <w:outline w:val="false"/>
          <w:shadow w:val="false"/>
          <w:color w:val="00000A"/>
          <w:kern w:val="0"/>
          <w:sz w:val="26"/>
          <w:szCs w:val="26"/>
          <w:u w:val="none"/>
          <w:shd w:fill="auto" w:val="clear"/>
          <w:em w:val="none"/>
          <w:lang w:val="ru-RU" w:eastAsia="ru-RU" w:bidi="ar-SA"/>
        </w:rPr>
        <w:t>КПД2 43.21.10 Мероприятия по подключению новых потребителей в рамках реализации проектов 4-ПТП</w:t>
      </w:r>
      <w:r>
        <w:rPr>
          <w:rFonts w:eastAsia="Times New Roman" w:cs="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A"/>
          <w:kern w:val="0"/>
          <w:sz w:val="26"/>
          <w:szCs w:val="26"/>
          <w:u w:val="none"/>
          <w:shd w:fill="auto" w:val="clear"/>
          <w:em w:val="none"/>
          <w:lang w:val="ru-RU" w:eastAsia="en-US" w:bidi="ar-SA"/>
        </w:rPr>
        <w:t>" для заявителей ИП Васильев А.Е., АО Сатис-ТЛ-94</w:t>
      </w:r>
    </w:p>
    <w:tbl>
      <w:tblPr>
        <w:tblStyle w:val="afffff1"/>
        <w:tblW w:w="15452" w:type="dxa"/>
        <w:jc w:val="left"/>
        <w:tblInd w:w="-353" w:type="dxa"/>
        <w:tblLayout w:type="fixed"/>
        <w:tblCellMar>
          <w:top w:w="0" w:type="dxa"/>
          <w:left w:w="73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59"/>
        <w:gridCol w:w="2228"/>
        <w:gridCol w:w="7703"/>
        <w:gridCol w:w="1919"/>
        <w:gridCol w:w="2643"/>
      </w:tblGrid>
      <w:tr>
        <w:trPr>
          <w:trHeight w:val="322" w:hRule="atLeast"/>
        </w:trPr>
        <w:tc>
          <w:tcPr>
            <w:tcW w:w="959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2228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7703" w:type="dxa"/>
            <w:vMerge w:val="restart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Требование заказчика</w:t>
            </w:r>
          </w:p>
        </w:tc>
        <w:tc>
          <w:tcPr>
            <w:tcW w:w="4562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</w:tr>
      <w:tr>
        <w:trPr>
          <w:trHeight w:val="276" w:hRule="atLeast"/>
        </w:trPr>
        <w:tc>
          <w:tcPr>
            <w:tcW w:w="959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228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7703" w:type="dxa"/>
            <w:vMerge w:val="continue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919" w:type="dxa"/>
            <w:tcBorders>
              <w:top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2643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ru-RU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ind w:left="5" w:right="908" w:hanging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2228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7703" w:type="dxa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1919" w:type="dxa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264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9931" w:type="dxa"/>
            <w:gridSpan w:val="2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выполнению работ</w:t>
            </w:r>
          </w:p>
        </w:tc>
        <w:tc>
          <w:tcPr>
            <w:tcW w:w="1919" w:type="dxa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264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1.1</w:t>
            </w:r>
          </w:p>
        </w:tc>
        <w:tc>
          <w:tcPr>
            <w:tcW w:w="9931" w:type="dxa"/>
            <w:gridSpan w:val="2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Общие требования к выполнению работ</w:t>
            </w:r>
          </w:p>
        </w:tc>
        <w:tc>
          <w:tcPr>
            <w:tcW w:w="1919" w:type="dxa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center"/>
              <w:rPr>
                <w:i/>
                <w:i/>
              </w:rPr>
            </w:pPr>
            <w:r>
              <w:rPr>
                <w:rFonts w:eastAsia="Times New Roman" w:cs="Times New Roman"/>
                <w:b/>
                <w:i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64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center"/>
              <w:rPr>
                <w:i/>
                <w:i/>
              </w:rPr>
            </w:pPr>
            <w:r>
              <w:rPr>
                <w:rFonts w:eastAsia="Times New Roman" w:cs="Times New Roman"/>
                <w:b/>
                <w:i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1.1.1</w:t>
            </w:r>
          </w:p>
        </w:tc>
        <w:tc>
          <w:tcPr>
            <w:tcW w:w="2228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" w:cstheme="minorBidi"/>
                <w:i/>
                <w:iCs/>
                <w:kern w:val="0"/>
                <w:sz w:val="24"/>
                <w:szCs w:val="24"/>
                <w:lang w:val="ru-RU" w:eastAsia="ru-RU" w:bidi="ar-SA"/>
              </w:rPr>
              <w:t>Перечень выполняемых работ</w:t>
            </w:r>
          </w:p>
        </w:tc>
        <w:tc>
          <w:tcPr>
            <w:tcW w:w="7703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28" w:before="0" w:after="0"/>
              <w:ind w:left="0" w:right="0" w:hanging="0"/>
              <w:contextualSpacing/>
              <w:jc w:val="left"/>
              <w:rPr>
                <w:b w:val="false"/>
                <w:bCs w:val="false"/>
                <w:sz w:val="24"/>
                <w:szCs w:val="24"/>
              </w:rPr>
            </w:pPr>
            <w:r>
              <w:rPr>
                <w:rFonts w:eastAsia="Times New Roman" w:cs="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4"/>
                <w:szCs w:val="24"/>
                <w:u w:val="none"/>
                <w:shd w:fill="auto" w:val="clear"/>
                <w:em w:val="none"/>
                <w:lang w:val="ru-RU" w:eastAsia="en-US" w:bidi="ar-SA"/>
              </w:rPr>
              <w:t>"О</w:t>
            </w:r>
            <w:r>
              <w:rPr>
                <w:rFonts w:eastAsia="Times New Roman" w:cs="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4"/>
                <w:szCs w:val="24"/>
                <w:u w:val="none"/>
                <w:shd w:fill="auto" w:val="clear"/>
                <w:em w:val="none"/>
                <w:lang w:val="ru-RU" w:eastAsia="ru-RU" w:bidi="ar-SA"/>
              </w:rPr>
              <w:t>КПД2 43.21.10 Мероприятия по подключению новых потребителей в рамках реализации проектов 4-ПТП</w:t>
            </w:r>
            <w:r>
              <w:rPr>
                <w:rFonts w:eastAsia="Times New Roman" w:cs="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4"/>
                <w:szCs w:val="24"/>
                <w:u w:val="none"/>
                <w:shd w:fill="auto" w:val="clear"/>
                <w:em w:val="none"/>
                <w:lang w:val="ru-RU" w:eastAsia="en-US" w:bidi="ar-SA"/>
              </w:rPr>
              <w:t>" для заявителей ИП Васильев А.Е., АО Сатис-ТЛ-94</w:t>
            </w:r>
          </w:p>
        </w:tc>
        <w:tc>
          <w:tcPr>
            <w:tcW w:w="1919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lineRule="auto" w:line="240" w:before="0" w:after="0"/>
              <w:jc w:val="left"/>
              <w:rPr>
                <w:b w:val="false"/>
                <w:bCs w:val="false"/>
                <w:i w:val="false"/>
                <w:i w:val="false"/>
                <w:iCs w:val="false"/>
                <w:kern w:val="0"/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0"/>
                <w:sz w:val="24"/>
                <w:szCs w:val="24"/>
                <w:lang w:eastAsia="ru-RU"/>
              </w:rPr>
              <w:t>Согласие с требованием</w:t>
            </w:r>
          </w:p>
        </w:tc>
        <w:tc>
          <w:tcPr>
            <w:tcW w:w="2643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center"/>
              <w:rPr>
                <w:i/>
                <w:i/>
              </w:rPr>
            </w:pPr>
            <w:r>
              <w:rPr>
                <w:b/>
                <w:i/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95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1.2.1</w:t>
            </w:r>
          </w:p>
        </w:tc>
        <w:tc>
          <w:tcPr>
            <w:tcW w:w="2228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Требования к выполнению работ.</w:t>
            </w:r>
          </w:p>
        </w:tc>
        <w:tc>
          <w:tcPr>
            <w:tcW w:w="7703" w:type="dxa"/>
            <w:tcBorders>
              <w:top w:val="nil"/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Все работы выполняются в соответствии с настоящими Техническими требованиями.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Подрядчик должен обеспечить качество выполнения всех видов работ в соответствии с рабочей документацией и действующими нормами, техническими условиями. Данная обязанность Подрядчика действует в течение всего срока исполнения Договора.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Выполнение Работ осуществляется поэтапно. Сроки выполнения отдельных Этапов Работ определяются Календарным графиком выполнения Работ в рамках общих сроков, указанных в пункте 6 настоящих ТТ.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«Этап Работ» – технологически законченный объем Работ, предусмотренный Календарным графиком выполнения Работ, который обладает признаками завершенности и позволяет по технологии строительства перейти к выполнению других видов Работ (следующего Этапа Работ).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Этап как технологически обособленная часть Работ, в отношении которой Сторонами в Календарном графике выполнения Работ согласованы сроки выполнения и требования к результатам, считается выделенным в рамках общего объема Работ и подлежит отдельной приемке Заказчиком. В ином случае считается, что приемке Заказчиком подлежит только Результат работ в целом.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2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Календарный график выполнения работ (с разбивкой на этапы) в формате  разрабатывается Подрядчиком в соответствии обозначенных этапов в составе заявки (сроки, цена) и подлежит согласованию с Заказчиком при заключении договора подряда. </w:t>
            </w: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919" w:type="dxa"/>
            <w:tcBorders>
              <w:top w:val="nil"/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lineRule="auto" w:line="240" w:before="0" w:after="0"/>
              <w:jc w:val="left"/>
              <w:rPr>
                <w:b w:val="false"/>
                <w:bCs w:val="false"/>
                <w:i w:val="false"/>
                <w:i w:val="false"/>
                <w:iCs w:val="false"/>
                <w:kern w:val="0"/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bCs w:val="false"/>
                <w:i w:val="false"/>
                <w:iCs/>
                <w:kern w:val="0"/>
                <w:sz w:val="24"/>
                <w:szCs w:val="24"/>
                <w:lang w:eastAsia="ru-RU"/>
              </w:rPr>
              <w:t>Согласие с требованием</w:t>
            </w:r>
          </w:p>
        </w:tc>
        <w:tc>
          <w:tcPr>
            <w:tcW w:w="264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center"/>
              <w:rPr>
                <w:i/>
                <w:i/>
              </w:rPr>
            </w:pPr>
            <w:r>
              <w:rPr>
                <w:b/>
                <w:i/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1.2</w:t>
            </w:r>
          </w:p>
        </w:tc>
        <w:tc>
          <w:tcPr>
            <w:tcW w:w="9931" w:type="dxa"/>
            <w:gridSpan w:val="2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организации работ</w:t>
            </w:r>
          </w:p>
        </w:tc>
        <w:tc>
          <w:tcPr>
            <w:tcW w:w="1919" w:type="dxa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264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1.2.1</w:t>
            </w:r>
          </w:p>
        </w:tc>
        <w:tc>
          <w:tcPr>
            <w:tcW w:w="2228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20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Подготовительные работы</w:t>
            </w:r>
          </w:p>
        </w:tc>
        <w:tc>
          <w:tcPr>
            <w:tcW w:w="7703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1.Выполнение организационно - технических мероприятий, обеспечивающих безопасное выполнение работ:</w:t>
            </w:r>
          </w:p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- назначение приказом подрядчика ответственного лица на объекте реконструкции за соблюдением требований техники безопасности, пожарной безопасности и охраны окружающей среды;</w:t>
            </w:r>
          </w:p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- разработка подрядчиком проекта производства работ (ППР), графика производства работ и получение всех необходимых согласований;</w:t>
            </w:r>
          </w:p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- оформление допуска для производства работ в зоне, действующей ЛЭП.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20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i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- </w:t>
            </w: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разработка рабочей документации;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20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2. Согласование с заказчиком Календарного графика выполнения работ.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20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3. Доставка строительной техники к месту производства работ.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20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4. Доставка к месту работы необходимых материалов.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20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5. Мероприятия по строительству ВЛ  и  с ТП выполнить с минимально возможными перерывами электроснабжения потребителей и в условиях минимальных перерывов и ограничений выдачи мощности.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20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6. Перед началом производства строительно-монтажных работ необходимо выполнение организационно - технических мероприятий, обеспечивающих безопасное производство работ необходимо оформление допуска для производства работ в зоне, действующей ЛЭП.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20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hd w:fill="auto" w:val="clear"/>
                <w:lang w:val="ru-RU" w:eastAsia="ru-RU" w:bidi="ar-SA"/>
              </w:rPr>
            </w:r>
          </w:p>
        </w:tc>
        <w:tc>
          <w:tcPr>
            <w:tcW w:w="1919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lineRule="auto" w:line="240" w:before="0" w:after="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643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center"/>
              <w:rPr>
                <w:i/>
                <w:i/>
              </w:rPr>
            </w:pPr>
            <w:r>
              <w:rPr>
                <w:rFonts w:eastAsia="Times New Roman" w:cs="Times New Roman"/>
                <w:b/>
                <w:i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5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1.2.2</w:t>
            </w:r>
          </w:p>
        </w:tc>
        <w:tc>
          <w:tcPr>
            <w:tcW w:w="2228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shd w:fill="auto" w:val="clear"/>
                <w:lang w:eastAsia="ru-RU"/>
              </w:rPr>
            </w:pPr>
            <w:r>
              <w:rPr>
                <w:i/>
                <w:sz w:val="24"/>
                <w:szCs w:val="24"/>
              </w:rPr>
              <w:t>Требования к составу  работ по  инженерным изысканиям</w:t>
            </w:r>
          </w:p>
        </w:tc>
        <w:tc>
          <w:tcPr>
            <w:tcW w:w="7703" w:type="dxa"/>
            <w:tcBorders>
              <w:top w:val="nil"/>
              <w:right w:val="nil"/>
            </w:tcBorders>
            <w:shd w:color="auto" w:fill="auto" w:val="clear"/>
          </w:tcPr>
          <w:p>
            <w:pPr>
              <w:pStyle w:val="Standard"/>
              <w:widowControl w:val="false"/>
              <w:tabs>
                <w:tab w:val="clear" w:pos="708"/>
                <w:tab w:val="left" w:pos="450" w:leader="none"/>
              </w:tabs>
              <w:spacing w:before="60" w:after="0"/>
              <w:rPr>
                <w:rFonts w:ascii="Liberation Serif" w:hAnsi="Liberation Serif" w:eastAsia="Times New Roman" w:cs="Times New Roman"/>
                <w:bCs/>
                <w:sz w:val="24"/>
                <w:szCs w:val="24"/>
                <w:shd w:fill="auto" w:val="clear"/>
              </w:rPr>
            </w:pPr>
            <w:r>
              <w:rPr>
                <w:rFonts w:eastAsia="Times New Roman" w:cs="Times New Roman" w:ascii="Liberation Serif" w:hAnsi="Liberation Serif"/>
                <w:bCs/>
                <w:sz w:val="24"/>
                <w:szCs w:val="24"/>
                <w:shd w:fill="auto" w:val="clear"/>
              </w:rPr>
              <w:t>Выполнить инженерные изыскания в соответствии с согласованной с заказчиком программой в необходимом составе, но не ограничиваясь:</w:t>
            </w:r>
          </w:p>
          <w:p>
            <w:pPr>
              <w:pStyle w:val="Standard"/>
              <w:widowControl w:val="false"/>
              <w:tabs>
                <w:tab w:val="clear" w:pos="708"/>
                <w:tab w:val="left" w:pos="450" w:leader="none"/>
              </w:tabs>
              <w:ind w:left="0" w:right="0" w:firstLine="283"/>
              <w:rPr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bCs/>
                <w:sz w:val="24"/>
                <w:szCs w:val="24"/>
              </w:rPr>
              <w:t>•</w:t>
            </w:r>
            <w:r>
              <w:rPr>
                <w:rFonts w:ascii="Liberation Serif" w:hAnsi="Liberation Serif"/>
                <w:bCs/>
                <w:sz w:val="24"/>
                <w:szCs w:val="24"/>
              </w:rPr>
              <w:tab/>
              <w:t>инженерно-геодезические изыскания (при необходимости, в случае согласования трассировки по требованию иных организаций или местных органов самоуправления).</w:t>
            </w:r>
          </w:p>
        </w:tc>
        <w:tc>
          <w:tcPr>
            <w:tcW w:w="1919" w:type="dxa"/>
            <w:tcBorders>
              <w:top w:val="nil"/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lineRule="auto" w:line="240" w:before="0" w:after="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hd w:fill="auto" w:val="clear"/>
                <w:lang w:val="ru-RU" w:eastAsia="ru-RU" w:bidi="ar-SA"/>
              </w:rPr>
            </w:r>
          </w:p>
        </w:tc>
        <w:tc>
          <w:tcPr>
            <w:tcW w:w="264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center"/>
              <w:rPr>
                <w:i/>
                <w:i/>
              </w:rPr>
            </w:pPr>
            <w:r>
              <w:rPr>
                <w:i/>
              </w:rPr>
            </w:r>
          </w:p>
        </w:tc>
      </w:tr>
      <w:tr>
        <w:trPr/>
        <w:tc>
          <w:tcPr>
            <w:tcW w:w="95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1.2.3</w:t>
            </w:r>
          </w:p>
        </w:tc>
        <w:tc>
          <w:tcPr>
            <w:tcW w:w="2228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pacing w:lineRule="auto" w:line="240" w:before="0" w:after="0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Требования к составу  работ по оформлению ПУД</w:t>
            </w:r>
          </w:p>
        </w:tc>
        <w:tc>
          <w:tcPr>
            <w:tcW w:w="7703" w:type="dxa"/>
            <w:tcBorders>
              <w:top w:val="nil"/>
              <w:right w:val="nil"/>
            </w:tcBorders>
            <w:shd w:color="auto" w:fill="auto" w:val="clear"/>
          </w:tcPr>
          <w:p>
            <w:pPr>
              <w:pStyle w:val="Standard"/>
              <w:widowControl w:val="false"/>
              <w:shd w:val="clear" w:fill="FFFFFF"/>
              <w:spacing w:lineRule="auto" w:line="240" w:before="60" w:after="0"/>
              <w:jc w:val="both"/>
              <w:rPr/>
            </w:pPr>
            <w:r>
              <w:rPr>
                <w:rStyle w:val="Style22"/>
                <w:rFonts w:eastAsia="Calibri" w:cs="Times New Roman"/>
                <w:iCs/>
                <w:color w:val="00000A"/>
                <w:spacing w:val="-7"/>
                <w:sz w:val="24"/>
                <w:szCs w:val="24"/>
                <w:shd w:fill="auto" w:val="clear"/>
                <w:lang w:val="ru-RU" w:eastAsia="ru-RU" w:bidi="ar-SA"/>
              </w:rPr>
              <w:t>В составе работ необходимо выполнить:</w:t>
            </w:r>
          </w:p>
          <w:p>
            <w:pPr>
              <w:pStyle w:val="Standard"/>
              <w:widowControl w:val="false"/>
              <w:shd w:val="clear" w:fill="FFFFFF"/>
              <w:spacing w:lineRule="auto" w:line="240"/>
              <w:jc w:val="both"/>
              <w:rPr/>
            </w:pPr>
            <w:r>
              <w:rPr>
                <w:rStyle w:val="Style22"/>
                <w:rFonts w:eastAsia="Calibri" w:cs="Times New Roman"/>
                <w:iCs/>
                <w:color w:val="00000A"/>
                <w:spacing w:val="-7"/>
                <w:sz w:val="24"/>
                <w:szCs w:val="24"/>
                <w:shd w:fill="auto" w:val="clear"/>
                <w:lang w:val="ru-RU" w:eastAsia="ru-RU" w:bidi="ar-SA"/>
              </w:rPr>
              <w:t>1. Выезд с представителем АО «ДРСК» на предполагаемое место строительства для определения трассы объекта;</w:t>
            </w:r>
          </w:p>
          <w:p>
            <w:pPr>
              <w:pStyle w:val="Standard"/>
              <w:widowControl w:val="false"/>
              <w:shd w:val="clear" w:fill="FFFFFF"/>
              <w:spacing w:lineRule="auto" w:line="240"/>
              <w:jc w:val="both"/>
              <w:rPr/>
            </w:pPr>
            <w:r>
              <w:rPr>
                <w:rStyle w:val="Style22"/>
                <w:rFonts w:eastAsia="Calibri" w:cs="Times New Roman"/>
                <w:iCs/>
                <w:color w:val="00000A"/>
                <w:spacing w:val="-7"/>
                <w:sz w:val="24"/>
                <w:szCs w:val="24"/>
                <w:shd w:fill="auto" w:val="clear"/>
                <w:lang w:val="ru-RU" w:eastAsia="ru-RU" w:bidi="ar-SA"/>
              </w:rPr>
              <w:t>2. На основании предварительно выбранного варианта прохождения трассы, получить сведения из Единого государственного реестра недвижимости (ЕГРН) в виде кадастрового плана территорий (КПТ) и (или) выписки об основных характеристиках и зарегистрированных правах на объект недвижимости;</w:t>
            </w:r>
          </w:p>
          <w:p>
            <w:pPr>
              <w:pStyle w:val="Standard"/>
              <w:widowControl w:val="false"/>
              <w:shd w:val="clear" w:fill="FFFFFF"/>
              <w:spacing w:lineRule="auto" w:line="240"/>
              <w:jc w:val="both"/>
              <w:rPr/>
            </w:pPr>
            <w:r>
              <w:rPr>
                <w:rStyle w:val="Style22"/>
                <w:rFonts w:eastAsia="Calibri" w:cs="Times New Roman"/>
                <w:iCs/>
                <w:color w:val="00000A"/>
                <w:spacing w:val="-7"/>
                <w:sz w:val="24"/>
                <w:szCs w:val="24"/>
                <w:shd w:fill="auto" w:val="clear"/>
                <w:lang w:val="ru-RU" w:eastAsia="ru-RU" w:bidi="ar-SA"/>
              </w:rPr>
              <w:t xml:space="preserve">3. Подготовить и направить на согласование Заказчику схему обзорного плана объекта. </w:t>
            </w:r>
            <w:r>
              <w:rPr>
                <w:rStyle w:val="Style22"/>
                <w:rFonts w:eastAsia="Calibri" w:cs="Times New Roman"/>
                <w:i/>
                <w:iCs/>
                <w:color w:val="00000A"/>
                <w:spacing w:val="-7"/>
                <w:sz w:val="24"/>
                <w:szCs w:val="24"/>
                <w:shd w:fill="auto" w:val="clear"/>
                <w:lang w:val="ru-RU" w:eastAsia="ru-RU" w:bidi="ar-SA"/>
              </w:rPr>
              <w:t>Заказчик согласовывает план трассы, а также определяет правовой титул оформления правоустанавливающих документов на использование земельных участков.</w:t>
            </w:r>
          </w:p>
          <w:p>
            <w:pPr>
              <w:pStyle w:val="Standard"/>
              <w:widowControl w:val="false"/>
              <w:shd w:val="clear" w:fill="FFFFFF"/>
              <w:spacing w:lineRule="auto" w:line="240"/>
              <w:jc w:val="both"/>
              <w:rPr/>
            </w:pPr>
            <w:r>
              <w:rPr>
                <w:rStyle w:val="Style22"/>
                <w:rFonts w:eastAsia="Calibri" w:cs="Times New Roman"/>
                <w:color w:val="00000A"/>
                <w:spacing w:val="-7"/>
                <w:sz w:val="24"/>
                <w:szCs w:val="24"/>
                <w:shd w:fill="auto" w:val="clear"/>
                <w:lang w:val="ru-RU" w:eastAsia="ru-RU" w:bidi="ar-SA"/>
              </w:rPr>
              <w:t>4. Совместно с Заказчиком согласовать место размещения объекта с организациями — сетедержателями;</w:t>
            </w:r>
          </w:p>
          <w:p>
            <w:pPr>
              <w:pStyle w:val="Standard"/>
              <w:widowControl w:val="false"/>
              <w:shd w:val="clear" w:fill="FFFFFF"/>
              <w:spacing w:lineRule="auto" w:line="240"/>
              <w:jc w:val="both"/>
              <w:rPr/>
            </w:pPr>
            <w:r>
              <w:rPr>
                <w:rStyle w:val="Style22"/>
                <w:rFonts w:eastAsia="Calibri" w:cs="Times New Roman"/>
                <w:color w:val="00000A"/>
                <w:spacing w:val="-7"/>
                <w:sz w:val="24"/>
                <w:szCs w:val="24"/>
                <w:shd w:fill="auto" w:val="clear"/>
                <w:lang w:val="ru-RU" w:eastAsia="ru-RU" w:bidi="ar-SA"/>
              </w:rPr>
              <w:t>5. В случае, прохождения трассы объекта строительства, по землям или земельным участкам, находящимся в государственной или муниципальной собственности, без прав третьих лиц, изготовить и согласовать с Заказчиком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(с использованием системы координат МСК-27;</w:t>
            </w:r>
          </w:p>
          <w:p>
            <w:pPr>
              <w:pStyle w:val="Standard"/>
              <w:widowControl w:val="false"/>
              <w:shd w:val="clear" w:fill="FFFFFF"/>
              <w:spacing w:lineRule="auto" w:line="240"/>
              <w:jc w:val="both"/>
              <w:rPr/>
            </w:pPr>
            <w:r>
              <w:rPr>
                <w:rStyle w:val="Style22"/>
                <w:rFonts w:eastAsia="Calibri" w:cs="Times New Roman"/>
                <w:color w:val="00000A"/>
                <w:spacing w:val="-7"/>
                <w:sz w:val="24"/>
                <w:szCs w:val="24"/>
                <w:shd w:fill="auto" w:val="clear"/>
                <w:lang w:val="ru-RU" w:eastAsia="ru-RU" w:bidi="ar-SA"/>
              </w:rPr>
              <w:t>6.Подготовить и направить заявление о выдаче разрешения на размещение объекта в исполнительный орган власти или орган местного самоуправления.</w:t>
            </w:r>
          </w:p>
          <w:p>
            <w:pPr>
              <w:pStyle w:val="Standard"/>
              <w:widowControl w:val="false"/>
              <w:shd w:val="clear" w:fill="FFFFFF"/>
              <w:spacing w:lineRule="auto" w:line="240"/>
              <w:jc w:val="both"/>
              <w:rPr/>
            </w:pPr>
            <w:r>
              <w:rPr>
                <w:rStyle w:val="Style22"/>
                <w:rFonts w:eastAsia="Calibri" w:cs="Times New Roman"/>
                <w:color w:val="00000A"/>
                <w:spacing w:val="-7"/>
                <w:sz w:val="24"/>
                <w:szCs w:val="24"/>
                <w:shd w:fill="auto" w:val="clear"/>
                <w:lang w:val="ru-RU" w:eastAsia="ru-RU" w:bidi="ar-SA"/>
              </w:rPr>
              <w:t>7. В случае, прохождения трассы объекта строительства, планируемого к расположению на части земельных участков, находящихся в государственной и муниципальной собственности, в пользовании третьих лиц, а также в собственности физических, юридических лиц подготовить и передать Заказчику в форме электронного документа сведений о границах территории, в отношении которой устанавливается публичный сервитут (далее - границы публичного сервитута), включающие графическое описание местоположения границ публичного сервитута и перечень координат характерных точек этих границ в системе координат МСК-27 (в соответствии с требованиями приказа Федеральной службы государственной регистрации, кадастра и картографии от 13 января 2021 г. N П/0004).</w:t>
            </w:r>
          </w:p>
          <w:p>
            <w:pPr>
              <w:pStyle w:val="Standard"/>
              <w:widowControl w:val="false"/>
              <w:shd w:val="clear" w:fill="FFFFFF"/>
              <w:spacing w:lineRule="auto" w:line="240"/>
              <w:jc w:val="both"/>
              <w:rPr/>
            </w:pPr>
            <w:r>
              <w:rPr>
                <w:rStyle w:val="Style22"/>
                <w:rFonts w:eastAsia="Calibri" w:cs="Times New Roman"/>
                <w:color w:val="00000A"/>
                <w:spacing w:val="-7"/>
                <w:sz w:val="24"/>
                <w:szCs w:val="24"/>
                <w:shd w:fill="auto" w:val="clear"/>
                <w:lang w:val="ru-RU" w:eastAsia="ru-RU" w:bidi="ar-SA"/>
              </w:rPr>
              <w:t>8. В случае, прохождения трассы объекта строительства, планируемого к расположению на части лесного участка, находящегося в государственной собственности, в пользовании третьих лиц, подготовить и передать Заказчику графическое описание местоположения границ, соглашение об установлении сервитута на части лесного участка, проект освоения лесов, таксационное описание лесосеки, лесной декларации.</w:t>
            </w:r>
          </w:p>
          <w:p>
            <w:pPr>
              <w:pStyle w:val="Standard"/>
              <w:widowControl w:val="false"/>
              <w:shd w:val="clear" w:fill="FFFFFF"/>
              <w:spacing w:lineRule="auto" w:line="240"/>
              <w:jc w:val="both"/>
              <w:rPr/>
            </w:pPr>
            <w:r>
              <w:rPr>
                <w:rStyle w:val="Style22"/>
                <w:rFonts w:eastAsia="Calibri" w:cs="Times New Roman"/>
                <w:color w:val="00000A"/>
                <w:spacing w:val="-7"/>
                <w:sz w:val="24"/>
                <w:szCs w:val="24"/>
                <w:shd w:fill="auto" w:val="clear"/>
                <w:lang w:val="ru-RU" w:eastAsia="ru-RU" w:bidi="ar-SA"/>
              </w:rPr>
              <w:t>9. Закрепление на местности границ земельного участка, в отношении которого получено разрешение на использование земель, решение об установлении публичного сервитута.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pacing w:lineRule="auto" w:line="240" w:before="0" w:after="0"/>
              <w:jc w:val="both"/>
              <w:rPr/>
            </w:pPr>
            <w:r>
              <w:rPr>
                <w:rStyle w:val="Style22"/>
                <w:rFonts w:eastAsia="Calibri" w:cs="Times New Roman"/>
                <w:color w:val="00000A"/>
                <w:spacing w:val="-7"/>
                <w:sz w:val="24"/>
                <w:szCs w:val="24"/>
                <w:shd w:fill="auto" w:val="clear"/>
                <w:lang w:val="ru-RU" w:eastAsia="ru-RU" w:bidi="ar-SA"/>
              </w:rPr>
              <w:t>10. В случае оформления правоустанавливающих документов на использование земельных участков по правовому титулу — публичный сервитут в отдельных целях, обеспечить подготовку отчета об оценке, проведенной в соответствии с законодательством Российской Федерации об оценочной деятельности в целях определения размера платы за публичный сервитут.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pacing w:lineRule="auto" w:line="240" w:before="0" w:after="0"/>
              <w:jc w:val="both"/>
              <w:rPr/>
            </w:pPr>
            <w:r>
              <w:rPr>
                <w:rStyle w:val="Style22"/>
                <w:rFonts w:eastAsia="Calibri" w:cs="Times New Roman"/>
                <w:color w:val="000000"/>
                <w:spacing w:val="-7"/>
                <w:sz w:val="24"/>
                <w:szCs w:val="24"/>
                <w:shd w:fill="auto" w:val="clear"/>
                <w:lang w:val="ru-RU" w:eastAsia="ru-RU" w:bidi="ar-SA"/>
              </w:rPr>
              <w:t>11. Подготовка и сопровождение согласования разрешительных документов на использование лесов в уполномоченном органе власти: проект освоения лесов,</w:t>
            </w:r>
            <w:r>
              <w:rPr>
                <w:rStyle w:val="Style22"/>
                <w:rFonts w:eastAsia="Calibri" w:cs="Times New Roman"/>
                <w:color w:val="C9211E"/>
                <w:spacing w:val="-7"/>
                <w:sz w:val="24"/>
                <w:szCs w:val="24"/>
                <w:shd w:fill="auto" w:val="clear"/>
                <w:lang w:val="ru-RU" w:eastAsia="ru-RU" w:bidi="ar-SA"/>
              </w:rPr>
              <w:t xml:space="preserve"> </w:t>
            </w:r>
            <w:r>
              <w:rPr>
                <w:rStyle w:val="Style22"/>
                <w:rFonts w:eastAsia="Calibri" w:cs="Times New Roman"/>
                <w:color w:val="000000"/>
                <w:spacing w:val="-7"/>
                <w:sz w:val="24"/>
                <w:szCs w:val="24"/>
                <w:shd w:fill="auto" w:val="clear"/>
                <w:lang w:val="ru-RU" w:eastAsia="ru-RU" w:bidi="ar-SA"/>
              </w:rPr>
              <w:t>т</w:t>
            </w:r>
            <w:r>
              <w:rPr>
                <w:rStyle w:val="Style22"/>
                <w:rFonts w:eastAsia="Calibri" w:cs="Times New Roman"/>
                <w:color w:val="00000A"/>
                <w:spacing w:val="-7"/>
                <w:sz w:val="24"/>
                <w:szCs w:val="24"/>
                <w:shd w:fill="auto" w:val="clear"/>
                <w:lang w:val="ru-RU" w:eastAsia="ru-RU" w:bidi="ar-SA"/>
              </w:rPr>
              <w:t>аксационное описание лесосеки</w:t>
            </w:r>
            <w:r>
              <w:rPr>
                <w:rStyle w:val="Style22"/>
                <w:rFonts w:eastAsia="Calibri" w:cs="Times New Roman"/>
                <w:color w:val="000000"/>
                <w:spacing w:val="-7"/>
                <w:sz w:val="24"/>
                <w:szCs w:val="24"/>
                <w:shd w:fill="auto" w:val="clear"/>
                <w:lang w:val="ru-RU" w:eastAsia="ru-RU" w:bidi="ar-SA"/>
              </w:rPr>
              <w:t>, лесная декларация, проект лесовосстановления (при необходимости).</w:t>
            </w:r>
          </w:p>
        </w:tc>
        <w:tc>
          <w:tcPr>
            <w:tcW w:w="1919" w:type="dxa"/>
            <w:tcBorders>
              <w:top w:val="nil"/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lineRule="auto" w:line="240" w:before="0" w:after="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hd w:fill="auto" w:val="clear"/>
                <w:lang w:val="ru-RU" w:eastAsia="ru-RU" w:bidi="ar-SA"/>
              </w:rPr>
            </w:r>
          </w:p>
        </w:tc>
        <w:tc>
          <w:tcPr>
            <w:tcW w:w="264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center"/>
              <w:rPr>
                <w:i/>
                <w:i/>
              </w:rPr>
            </w:pPr>
            <w:r>
              <w:rPr>
                <w:i/>
              </w:rPr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1.3</w:t>
            </w:r>
          </w:p>
        </w:tc>
        <w:tc>
          <w:tcPr>
            <w:tcW w:w="9931" w:type="dxa"/>
            <w:gridSpan w:val="2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b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Требования к контролю качества работ и материалов</w:t>
            </w:r>
          </w:p>
        </w:tc>
        <w:tc>
          <w:tcPr>
            <w:tcW w:w="1919" w:type="dxa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hd w:fill="auto" w:val="clear"/>
                <w:lang w:val="ru-RU" w:eastAsia="ru-RU" w:bidi="ar-SA"/>
              </w:rPr>
            </w:r>
          </w:p>
        </w:tc>
        <w:tc>
          <w:tcPr>
            <w:tcW w:w="264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hd w:fill="auto" w:val="clear"/>
                <w:lang w:val="ru-RU" w:eastAsia="ru-RU" w:bidi="ar-SA"/>
              </w:rPr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1.3.1</w:t>
            </w:r>
          </w:p>
        </w:tc>
        <w:tc>
          <w:tcPr>
            <w:tcW w:w="2228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i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Требования к контролю качества работ и материалов</w:t>
            </w:r>
          </w:p>
        </w:tc>
        <w:tc>
          <w:tcPr>
            <w:tcW w:w="7703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200"/>
              <w:contextualSpacing/>
              <w:jc w:val="both"/>
              <w:rPr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Выполнение строительно-монтажных работ осуществляется на основании разрешения на размещение объекта органа государственной власти или органа местного самоуправления (получаемого Заказчиком на основании схемы границ земель или части на кадастровом плане территории).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20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Работы выполнить в соответствии с разработанной и утвержденной рабочей документацией, требованиями государственных надзорных органов, технической и эксплуатационной документации заводов-изготовителей поставляемой продукции, строительными нормами и правилами, а также другими действующими правилами и инструкциями: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20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- ПУЭ (действующее издание);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20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- ПТЭ (действующее издание);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20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- </w:t>
            </w:r>
            <w:r>
              <w:rPr>
                <w:rFonts w:eastAsia="Times New Roman" w:cs="Times New Roman" w:ascii="Liberation Serif" w:hAnsi="Liberation Serif"/>
                <w:color w:val="00000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«Методика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РФ на территории РФ» (Приказ Минстроя России от 04.08.2020 № 421);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- СП 48.13330.2019 «Организация строительства»;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- СП 68.13330.2017 «Приемка в эксплуатацию законченных строительством объектов. Основные положения»;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- СП 76.13330.2016 «Электротехнические устройства»;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- СП 126.13330.2017 «Геодезические работы в строительстве»;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- РД–11-02-2006 «Требования к исполнительной документации»;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- РД–11-05-2007 «Порядок ведения общего журнала работ»;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- И 1.13-07 «Инструкция по оформлению приемо-сдаточной документации по электромонтажным работам»;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200"/>
              <w:contextualSpacing/>
              <w:jc w:val="both"/>
              <w:rPr>
                <w:sz w:val="26"/>
                <w:szCs w:val="26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- Иные действующие законодательные и нормативно-технические документы   в области строительства, регулирующие вопросы обеспечения безопасности и качества строительства, обязательные к применению на территории Российской Федерации и Хабаровского края. </w:t>
            </w:r>
            <w:r>
              <w:rPr>
                <w:rFonts w:eastAsia="Times New Roman" w:cs="Times New Roman"/>
                <w:spacing w:val="-1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К выполнению СМР приступить только после письменного согласования Заказчиком рабочей документации.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200"/>
              <w:contextualSpacing/>
              <w:jc w:val="both"/>
              <w:rPr>
                <w:sz w:val="26"/>
                <w:szCs w:val="26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-</w:t>
            </w:r>
            <w:r>
              <w:rPr>
                <w:rFonts w:eastAsia="Times New Roman" w:cs="Times New Roman"/>
                <w:spacing w:val="-1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 Правила пожарной безопасности;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i/>
                <w:i/>
                <w:kern w:val="0"/>
                <w:sz w:val="24"/>
                <w:szCs w:val="24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shd w:fill="auto" w:val="clear"/>
                <w:lang w:val="ru-RU" w:eastAsia="ru-RU" w:bidi="ar-SA"/>
              </w:rPr>
            </w:r>
          </w:p>
        </w:tc>
        <w:tc>
          <w:tcPr>
            <w:tcW w:w="1919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lineRule="auto" w:line="240" w:before="0" w:after="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643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center"/>
              <w:rPr>
                <w:i/>
                <w:i/>
              </w:rPr>
            </w:pPr>
            <w:r>
              <w:rPr>
                <w:b/>
                <w:i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5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1.4</w:t>
            </w:r>
          </w:p>
        </w:tc>
        <w:tc>
          <w:tcPr>
            <w:tcW w:w="9931" w:type="dxa"/>
            <w:gridSpan w:val="2"/>
            <w:tcBorders>
              <w:top w:val="nil"/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ind w:left="142" w:right="0" w:hanging="0"/>
              <w:jc w:val="left"/>
              <w:rPr>
                <w:b/>
                <w:bCs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Разработка проектно-сметной документации в объеме рабочей документации.</w:t>
            </w:r>
          </w:p>
        </w:tc>
        <w:tc>
          <w:tcPr>
            <w:tcW w:w="1919" w:type="dxa"/>
            <w:tcBorders>
              <w:top w:val="nil"/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lineRule="auto" w:line="240" w:before="0" w:after="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hd w:fill="auto" w:val="clear"/>
                <w:lang w:val="ru-RU" w:eastAsia="ru-RU" w:bidi="ar-SA"/>
              </w:rPr>
            </w:r>
          </w:p>
        </w:tc>
        <w:tc>
          <w:tcPr>
            <w:tcW w:w="264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center"/>
              <w:rPr>
                <w:i/>
                <w:i/>
              </w:rPr>
            </w:pPr>
            <w:r>
              <w:rPr>
                <w:i/>
              </w:rPr>
            </w:r>
          </w:p>
        </w:tc>
      </w:tr>
      <w:tr>
        <w:trPr/>
        <w:tc>
          <w:tcPr>
            <w:tcW w:w="95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1.4.1</w:t>
            </w:r>
          </w:p>
        </w:tc>
        <w:tc>
          <w:tcPr>
            <w:tcW w:w="2228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ind w:left="142" w:right="0" w:hanging="0"/>
              <w:jc w:val="both"/>
              <w:rPr>
                <w:highlight w:val="none"/>
                <w:shd w:fill="auto" w:val="clear"/>
              </w:rPr>
            </w:pPr>
            <w:r>
              <w:rPr>
                <w:color w:val="000000"/>
                <w:sz w:val="26"/>
                <w:szCs w:val="26"/>
                <w:shd w:fill="auto" w:val="clear"/>
              </w:rPr>
              <w:t>В состав проекта включить</w:t>
            </w:r>
            <w:r>
              <w:rPr>
                <w:b/>
                <w:color w:val="000000"/>
                <w:sz w:val="26"/>
                <w:szCs w:val="26"/>
                <w:shd w:fill="auto" w:val="clear"/>
              </w:rPr>
              <w:t>:</w:t>
            </w:r>
          </w:p>
        </w:tc>
        <w:tc>
          <w:tcPr>
            <w:tcW w:w="7703" w:type="dxa"/>
            <w:tcBorders>
              <w:top w:val="nil"/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ind w:left="0" w:right="0" w:hanging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Для объектов находящихся на территории г. Хабаровск.</w:t>
            </w:r>
          </w:p>
          <w:p>
            <w:pPr>
              <w:pStyle w:val="Normal"/>
              <w:widowControl w:val="false"/>
              <w:ind w:left="0" w:right="0" w:hanging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Получить ИСОГД (в случае необходиомости).</w:t>
            </w:r>
          </w:p>
          <w:p>
            <w:pPr>
              <w:pStyle w:val="Normal"/>
              <w:widowControl w:val="false"/>
              <w:spacing w:lineRule="auto" w:line="276" w:before="0" w:after="200"/>
              <w:ind w:left="0" w:right="0" w:hanging="0"/>
              <w:contextualSpacing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Согласованную по выписке ИСОГД Схему границ поопорной трассировки на топооснове и КПТ (масштаб 1:500) объекта ТП;</w:t>
            </w:r>
          </w:p>
          <w:p>
            <w:pPr>
              <w:pStyle w:val="Normal"/>
              <w:widowControl w:val="false"/>
              <w:spacing w:lineRule="auto" w:line="276" w:before="0" w:after="200"/>
              <w:ind w:left="0" w:right="0" w:hanging="0"/>
              <w:contextualSpacing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Изготовить и согласовать с заказчиком: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76" w:before="0" w:after="200"/>
              <w:ind w:left="0" w:right="0" w:hanging="0"/>
              <w:contextualSpacing/>
              <w:jc w:val="both"/>
              <w:rPr/>
            </w:pPr>
            <w:r>
              <w:rPr>
                <w:color w:val="000000"/>
                <w:sz w:val="26"/>
                <w:szCs w:val="26"/>
              </w:rPr>
              <w:t>-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– в случае, если планируется использовать земли или часть земельного участка, находящихся в государственной или муниципальной собственности, без предоставления земельных участков и установления сервитута (с использованием системы координат, применяемой при ведении государственного кадастра недвижимости) или схему границ публичного сервитута (сервитут);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76" w:before="0" w:after="200"/>
              <w:ind w:left="0" w:right="0" w:hanging="0"/>
              <w:contextualSpacing/>
              <w:jc w:val="both"/>
              <w:rPr/>
            </w:pPr>
            <w:r>
              <w:rPr>
                <w:color w:val="000000"/>
                <w:sz w:val="26"/>
                <w:szCs w:val="26"/>
              </w:rPr>
              <w:t>- перечетную ведомость и подеревную схему (в случае сноса зеленых насаждений). Разрешение на снос зеленых насаждений;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76" w:before="0" w:after="200"/>
              <w:ind w:left="0" w:right="0" w:hanging="0"/>
              <w:contextualSpacing/>
              <w:jc w:val="both"/>
              <w:rPr/>
            </w:pPr>
            <w:r>
              <w:rPr>
                <w:color w:val="000000"/>
                <w:sz w:val="26"/>
                <w:szCs w:val="26"/>
              </w:rPr>
              <w:t>- ППР на производство земляных работ.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200"/>
              <w:ind w:left="0" w:right="0" w:hanging="0"/>
              <w:contextualSpacing/>
              <w:jc w:val="both"/>
              <w:rPr/>
            </w:pPr>
            <w:r>
              <w:rPr>
                <w:color w:val="000000"/>
                <w:sz w:val="26"/>
                <w:szCs w:val="26"/>
              </w:rPr>
              <w:t>Для объектов находящихся не на территории г. Хабаровск.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200"/>
              <w:ind w:left="0" w:right="0" w:hanging="0"/>
              <w:contextualSpacing/>
              <w:jc w:val="both"/>
              <w:rPr/>
            </w:pPr>
            <w:r>
              <w:rPr>
                <w:color w:val="000000"/>
                <w:sz w:val="26"/>
                <w:szCs w:val="26"/>
              </w:rPr>
              <w:t>Согласованную по выписке с заинтересованными землепользователями и сетедержателями Схему границ поопорной трассировки объекта ТП на топографической основе (масштаб 1:2000; 1:5000 при наличии) (по согласованию с администрациями Муниципальных образований на основе Google карт) и КПТ;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200"/>
              <w:ind w:left="0" w:right="0" w:hanging="0"/>
              <w:contextualSpacing/>
              <w:jc w:val="both"/>
              <w:rPr/>
            </w:pPr>
            <w:r>
              <w:rPr>
                <w:color w:val="000000"/>
                <w:sz w:val="26"/>
                <w:szCs w:val="26"/>
              </w:rPr>
              <w:t>Изготовить и согласовать с заказчиком: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200"/>
              <w:ind w:left="0" w:right="0" w:hanging="0"/>
              <w:contextualSpacing/>
              <w:jc w:val="both"/>
              <w:rPr/>
            </w:pPr>
            <w:r>
              <w:rPr>
                <w:color w:val="000000"/>
                <w:sz w:val="26"/>
                <w:szCs w:val="26"/>
              </w:rPr>
              <w:t>-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– в случае, если планируется использовать земли или часть земельного участка, находящихся в государственной или муниципальной собственности, без предоставления земельных участков и установления сервитута (с использованием системы координат, применяемой при ведении государственного кадастра недвижимости) (схему границ сервитута, публичного сервитута);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200"/>
              <w:ind w:left="0" w:right="0" w:hanging="0"/>
              <w:contextualSpacing/>
              <w:jc w:val="both"/>
              <w:rPr/>
            </w:pPr>
            <w:r>
              <w:rPr>
                <w:color w:val="000000"/>
                <w:sz w:val="26"/>
                <w:szCs w:val="26"/>
              </w:rPr>
              <w:t>- закрепление земельного участка на местности (вынос объекта в натуру);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200"/>
              <w:ind w:left="0" w:right="0" w:hanging="0"/>
              <w:contextualSpacing/>
              <w:jc w:val="both"/>
              <w:rPr/>
            </w:pPr>
            <w:r>
              <w:rPr>
                <w:color w:val="000000"/>
                <w:sz w:val="26"/>
                <w:szCs w:val="26"/>
              </w:rPr>
              <w:t>- перечетную ведомость и подеревную схему (в случае сноса зеленых насаждений). Разрешение на снос зеленых насаждений;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200"/>
              <w:ind w:left="0" w:right="0" w:hanging="0"/>
              <w:contextualSpacing/>
              <w:jc w:val="both"/>
              <w:rPr/>
            </w:pPr>
            <w:r>
              <w:rPr>
                <w:color w:val="000000"/>
                <w:sz w:val="26"/>
                <w:szCs w:val="26"/>
              </w:rPr>
              <w:t>- ППР на производство земляных работ.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0"/>
              <w:ind w:left="0" w:right="0" w:hanging="0"/>
              <w:contextualSpacing/>
              <w:jc w:val="both"/>
              <w:rPr/>
            </w:pPr>
            <w:r>
              <w:rPr>
                <w:color w:val="000000"/>
                <w:sz w:val="26"/>
                <w:szCs w:val="26"/>
              </w:rPr>
              <w:t>Указанные документы и исходные материалы предоставить в бумажном виде и на электронном носителе в форматах (*.pdf; *.dwg; *.tab; *.hml; *.sig). Работы по подготовке исходно разрешительной документации должны быть выполнены в соответствии с Земельным кодексом Российской Фудерации; Градостроительным кодексом Российской Федерации и другими законами Российской Федерации и Хабаровского края; нормативно-правовыми актами Российской Федерации, Хабаровского края и муниципальных образований Хабаровского края.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rPr/>
            </w:pPr>
            <w:r>
              <w:rPr>
                <w:color w:val="000000"/>
                <w:sz w:val="26"/>
                <w:szCs w:val="26"/>
              </w:rPr>
              <w:t>Схемы закрепления опор в грунте; ведомость стрел провесов проводов; конструктивно-строительные решения; мероприятия по защите ВЛ от грозовых перенапряжений; заземляющие устройства ВЛ; спецификации материалов, изделий, конструкций, оборудования, схемы монтажа птицезащитных устройств.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60" w:after="0"/>
              <w:ind w:left="0" w:right="0" w:hanging="0"/>
              <w:jc w:val="both"/>
              <w:rPr/>
            </w:pPr>
            <w:r>
              <w:rPr>
                <w:color w:val="000000"/>
                <w:sz w:val="26"/>
                <w:szCs w:val="26"/>
              </w:rPr>
              <w:t>Краткую пояснительную записку с описанием строительных и электротехнических решений по ВЛ и ТП.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lineRule="auto" w:line="276" w:before="60" w:after="0"/>
              <w:ind w:left="0" w:right="0" w:hanging="0"/>
              <w:jc w:val="both"/>
              <w:rPr/>
            </w:pPr>
            <w:r>
              <w:rPr>
                <w:color w:val="000000"/>
                <w:sz w:val="26"/>
                <w:szCs w:val="26"/>
              </w:rPr>
              <w:t>Проектные решения разработать в соответствии с техническими условиями на технологическое присоединение.</w:t>
            </w:r>
          </w:p>
          <w:p>
            <w:pPr>
              <w:pStyle w:val="Normal"/>
              <w:widowControl w:val="false"/>
              <w:numPr>
                <w:ilvl w:val="0"/>
              </w:numPr>
              <w:tabs>
                <w:tab w:val="clear" w:pos="708"/>
                <w:tab w:val="left" w:pos="0" w:leader="none"/>
              </w:tabs>
              <w:spacing w:before="60" w:after="0"/>
              <w:ind w:left="0" w:right="0" w:hanging="0"/>
              <w:jc w:val="both"/>
              <w:rPr/>
            </w:pPr>
            <w:r>
              <w:rPr>
                <w:color w:val="000000"/>
                <w:sz w:val="26"/>
                <w:szCs w:val="26"/>
                <w:shd w:fill="auto" w:val="clear"/>
              </w:rPr>
              <w:t>Проектную документацию необходимо согласовать с начальником сетевого района, начальником Службы технологического присоединения, главным инженером СП «ЦЭС» филиала «ХЭС», сектором земельных отношений Отдела капитального строительства и инвестиций филиала «ХЭС» до начала производства работ.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before="60" w:after="0"/>
              <w:ind w:left="0" w:right="0" w:hanging="0"/>
              <w:jc w:val="both"/>
              <w:rPr/>
            </w:pPr>
            <w:r>
              <w:rPr>
                <w:color w:val="000000"/>
                <w:sz w:val="26"/>
                <w:szCs w:val="26"/>
              </w:rPr>
              <w:t>Проектная документация должна быть разработана с учетом Технической политики Группы РусГидро, в том числе с учетом Технической политики.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before="60" w:after="0"/>
              <w:ind w:left="0" w:right="0" w:hanging="0"/>
              <w:jc w:val="both"/>
              <w:rPr/>
            </w:pPr>
            <w:r>
              <w:rPr>
                <w:color w:val="000000"/>
                <w:sz w:val="26"/>
                <w:szCs w:val="26"/>
              </w:rPr>
              <w:t>Разработанные проекты передать по акту приемки-передачи на утверждение в филиал АО «ДРСК» «ХЭС» (в бумажном виде и на электронном носителе, формат.pdf, .dwg).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rPr/>
            </w:pPr>
            <w:r>
              <w:rPr>
                <w:color w:val="000000"/>
                <w:sz w:val="26"/>
                <w:szCs w:val="26"/>
              </w:rPr>
              <w:t>Виды работ: строительно-монтажные по строительству и реконструкции.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rPr/>
            </w:pPr>
            <w:r>
              <w:rPr>
                <w:color w:val="000000"/>
                <w:sz w:val="26"/>
                <w:szCs w:val="26"/>
              </w:rPr>
              <w:t>Срок выполнения строительно-монтажных работ – в течение 60 календарных дней с даты заключения дополнительного соглашения к договору подряда</w:t>
            </w:r>
          </w:p>
        </w:tc>
        <w:tc>
          <w:tcPr>
            <w:tcW w:w="1919" w:type="dxa"/>
            <w:tcBorders>
              <w:top w:val="nil"/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lineRule="auto" w:line="240" w:before="0" w:after="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b w:val="false"/>
                <w:bCs w:val="false"/>
                <w:i w:val="false"/>
                <w:iCs w:val="false"/>
                <w:sz w:val="24"/>
                <w:szCs w:val="24"/>
              </w:rPr>
              <w:t>Согласие с требованием</w:t>
            </w:r>
          </w:p>
        </w:tc>
        <w:tc>
          <w:tcPr>
            <w:tcW w:w="264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center"/>
              <w:rPr>
                <w:i/>
                <w:i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2</w:t>
            </w:r>
          </w:p>
        </w:tc>
        <w:tc>
          <w:tcPr>
            <w:tcW w:w="9931" w:type="dxa"/>
            <w:gridSpan w:val="2"/>
            <w:tcBorders>
              <w:top w:val="nil"/>
              <w:left w:val="nil"/>
              <w:right w:val="nil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Требования к результатам работ</w:t>
            </w:r>
          </w:p>
        </w:tc>
        <w:tc>
          <w:tcPr>
            <w:tcW w:w="1919" w:type="dxa"/>
            <w:tcBorders>
              <w:top w:val="nil"/>
              <w:left w:val="nil"/>
              <w:right w:val="nil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hd w:fill="auto" w:val="clear"/>
                <w:lang w:val="ru-RU" w:eastAsia="ru-RU" w:bidi="ar-SA"/>
              </w:rPr>
            </w:r>
          </w:p>
        </w:tc>
        <w:tc>
          <w:tcPr>
            <w:tcW w:w="2643" w:type="dxa"/>
            <w:tcBorders>
              <w:top w:val="nil"/>
              <w:left w:val="nil"/>
              <w:right w:val="nil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hd w:fill="auto" w:val="clear"/>
                <w:lang w:val="ru-RU" w:eastAsia="ru-RU" w:bidi="ar-SA"/>
              </w:rPr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2.1</w:t>
            </w:r>
          </w:p>
        </w:tc>
        <w:tc>
          <w:tcPr>
            <w:tcW w:w="9931" w:type="dxa"/>
            <w:gridSpan w:val="2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Общие требования к результатам работ</w:t>
            </w:r>
          </w:p>
        </w:tc>
        <w:tc>
          <w:tcPr>
            <w:tcW w:w="1919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hd w:fill="auto" w:val="clear"/>
                <w:lang w:val="ru-RU" w:eastAsia="ru-RU" w:bidi="ar-SA"/>
              </w:rPr>
            </w:r>
          </w:p>
        </w:tc>
        <w:tc>
          <w:tcPr>
            <w:tcW w:w="2643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hd w:fill="auto" w:val="clear"/>
                <w:lang w:val="ru-RU" w:eastAsia="ru-RU" w:bidi="ar-SA"/>
              </w:rPr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2.1.2</w:t>
            </w:r>
          </w:p>
        </w:tc>
        <w:tc>
          <w:tcPr>
            <w:tcW w:w="2228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20" w:after="200"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i/>
                <w:iCs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Требования к оформлению документации</w:t>
            </w:r>
          </w:p>
        </w:tc>
        <w:tc>
          <w:tcPr>
            <w:tcW w:w="7703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Подрядчик ведет исполнительную документацию, где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Подрядчика, которая предоставляется Заказчику в следующем объеме: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1. Монтаж ВЛ: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Акт приемки законченного строительства;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Акт технической готовности электромонтажных работ;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Акт освидетельствования скрытых работ по монтажу заземляющего устройства с исполнительной схемой;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Паспорт ЛЭП (лист с изменениями) – готовится и хранится в РЭС;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Акт освидетельствования скрытых работ на устройство основания под опоры;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Акт замеров в натуре габаритов от проводов ВЛ до пересекаемого объекта (при наличии пересечений);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Исполнительная схема ЛЭП;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42" w:leader="none"/>
              </w:tabs>
              <w:suppressAutoHyphens w:val="true"/>
              <w:spacing w:before="0" w:after="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Протокол измерения сопротивления изоляции электропроводок и кабелей;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bCs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Протокол измерения сопротивления заземляющего устройства;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•</w:t>
            </w: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Протокол проверки наличия цепи между заземленной установкой и заземлителем;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Лицензия на ВВ лабораторию (копия);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Паспорта и сертификаты на примененные материалы, изделия, оборудование;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Справка об устранении выявленных замечаний (при наличии);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bCs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Ордер на производство работ.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2. Монтаж ТП (в случае монтажа ТП дополнительно предоставляются):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Акт сдачи-приемки электромонтажных работ;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Паспорт заземляющего устройства в составе: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Акт освидетельствования скрытых работ по наружному контуру заземления ТП;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Акт сдачи-приемки работ по монтажу наружного контура заземления ТП;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bCs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Протоколы приемо-сдаточных испытаний согласно ПУЭ;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bCs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Паспорта на установленное оборудование;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Подрядчик оформляет исполнительную документацию на участки прохождения ЛЭП в местах пересечений, сближений и параллельное следование трассы ЛЭП с инженерными сетями, автодорогами и другими преградами сторонних организаций, попадающих в полосу отвода строительства ЛЭП, на которые получены согласования и/или технические условия, с оформлением актов (справок) об их выполнении.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6"/>
                <w:szCs w:val="26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6"/>
                <w:szCs w:val="26"/>
                <w:shd w:fill="auto" w:val="clear"/>
                <w:lang w:val="ru-RU" w:eastAsia="ru-RU" w:bidi="ar-SA"/>
              </w:rPr>
            </w:r>
          </w:p>
        </w:tc>
        <w:tc>
          <w:tcPr>
            <w:tcW w:w="1919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lineRule="auto" w:line="240" w:before="0" w:after="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643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center"/>
              <w:rPr>
                <w:i/>
                <w:i/>
              </w:rPr>
            </w:pPr>
            <w:r>
              <w:rPr>
                <w:rFonts w:eastAsia="Times New Roman" w:cs="Times New Roman"/>
                <w:b/>
                <w:i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2.1.3</w:t>
            </w:r>
          </w:p>
        </w:tc>
        <w:tc>
          <w:tcPr>
            <w:tcW w:w="2228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20" w:after="200"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i/>
                <w:iCs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Прочие требования к выполняемым работам</w:t>
            </w:r>
          </w:p>
        </w:tc>
        <w:tc>
          <w:tcPr>
            <w:tcW w:w="7703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1. При выполнении строительно-монтажных работ Подрядчик обеспечивает: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 xml:space="preserve">Строгое соблюдение требований, содержащихся в </w:t>
            </w:r>
            <w:r>
              <w:rPr>
                <w:rFonts w:eastAsia="Calibri" w:cs="Times New Roman" w:ascii="Liberation Serif" w:hAnsi="Liberation Serif" w:eastAsiaTheme="minorHAnsi"/>
                <w:bCs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настоящих Технических требованиях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, в СНиП, СП, СанПин, технических регламентах и иных документах, регламентирующих строительную деятельность.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Производство работ в полном соответствии согласованными с Заказчиком проектом производства работ и календарным (сетевым) графиком строительства, строительными нормами и правилами;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Своевременное устранение недостатков и дефектов, выявленных при приемке работ и в течение гарантийного срока эксплуатации объекта.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 xml:space="preserve">•  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Соблюдение при строительстве объекта необходимых мероприятий по технике безопасности, рациональному использованию территории, охране окружающей среды, зеленых насаждений и земли.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 xml:space="preserve">2. По требованию и в сроки, установленные Заказчиком, своими силами, средствами и за свой счет устранять недостатки, несоответствия и / или дефекты, выявленные в процессе производства Работ, при приемке выполненных Работ и / или в Гарантийный период, а также связанные с несогласованными с Заказчиком отступлениями от </w:t>
            </w:r>
            <w:r>
              <w:rPr>
                <w:rFonts w:eastAsia="Calibri" w:cs="Times New Roman" w:ascii="Liberation Serif" w:hAnsi="Liberation Serif" w:eastAsiaTheme="minorHAnsi"/>
                <w:bCs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настоящего Технического требования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. Подрядчик обязан незамедлительно приступать к устранению недостатков, о которых ему стало известно.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3. Письменно уведомлять Заказчика о необходимости проведения освидетельствования и / или приемки Скрытых работ.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Указанное уведомление должно быть получено Заказчиком заблаговременно, но не позднее, чем за 5 (пять) рабочих дней до начала освидетельствования. В случае если 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работ.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Указанное уведомление должно быть получено Заказчиком заблаговременно, но не позднее, чем за 5 (пять) рабочих дней до начала освидетельствования. В случае если 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работ.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4. Осуществлять мероприятия строительного контроля, возложенные на Подрядчика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5. Подрядчик ведет исполнительную документацию, в которой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6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- 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6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- журнал учета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Формы журналов должны соответствовать типовым межотраслевым формам № КС-6 и № КС-6А, утвержденным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6. 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 и не противоречат проектной документации, или изменения проекта, которые согласованы в порядке, установленном нормативными актами.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 xml:space="preserve">  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Заказчик может дать письменное распоряжение, обязательное для Подрядчика, с указанием: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•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 xml:space="preserve"> 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увеличить или сократить объем любой работы, включенной в Договор;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 xml:space="preserve"> 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исключить любую работу;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изменить характер или качество, или вид любой части работы;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 xml:space="preserve">•  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выполнить дополнительную работу любого характера, необходимую для завершения строительства объекта.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 xml:space="preserve">  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В случае если такое изменение не влечет за собой изменение общей стоимости договора, то данные изменения оформляются дополнительным соглашением.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 xml:space="preserve">  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В случае если такое изменение влечет за собой существенное изменение условий договора (сроков выполнения работ, увеличение общей стоимости договора) вследствие увеличения стоимости оборудования, материалов, то Подрядчик приступает к его исполнению только после оформления надлежащим образом.</w:t>
            </w:r>
          </w:p>
        </w:tc>
        <w:tc>
          <w:tcPr>
            <w:tcW w:w="1919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lineRule="auto" w:line="240" w:before="0" w:after="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643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center"/>
              <w:rPr>
                <w:i/>
                <w:i/>
              </w:rPr>
            </w:pPr>
            <w:r>
              <w:rPr>
                <w:rFonts w:cs="Times New Roman"/>
                <w:b/>
                <w:i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2.2</w:t>
            </w:r>
          </w:p>
        </w:tc>
        <w:tc>
          <w:tcPr>
            <w:tcW w:w="9931" w:type="dxa"/>
            <w:gridSpan w:val="2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tcMar>
              <w:left w:w="113" w:type="dxa"/>
            </w:tcMar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Требования к оформлению документации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tcMar>
              <w:left w:w="113" w:type="dxa"/>
            </w:tcMar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hd w:fill="auto" w:val="clear"/>
                <w:lang w:val="ru-RU" w:eastAsia="ru-RU" w:bidi="ar-SA"/>
              </w:rPr>
            </w: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tcMar>
              <w:left w:w="113" w:type="dxa"/>
            </w:tcMar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hd w:fill="auto" w:val="clear"/>
                <w:lang w:val="ru-RU" w:eastAsia="ru-RU" w:bidi="ar-SA"/>
              </w:rPr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2.2.1</w:t>
            </w:r>
          </w:p>
        </w:tc>
        <w:tc>
          <w:tcPr>
            <w:tcW w:w="2228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Документы, передаваемые заказчику по результатам выполненных работ</w:t>
            </w:r>
          </w:p>
        </w:tc>
        <w:tc>
          <w:tcPr>
            <w:tcW w:w="7703" w:type="dxa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Подрядчик предоставляет: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Исполнительная документация оформляется в 3 экземплярах: 1 экземпляр передается в РЭС и 1 экземпляр в соответствующее структурное подразделение филиала «Хабаровские электрические сети» по акту приемки-передачи (в службу технологического присоединения предоставляются копии актов приемки передачи, подтверждающие факт приемки исполнительной документации в структурное подразделение и РЭС), 1 экземпляр в отдел капитального строительства и инвестиций</w:t>
            </w:r>
            <w:r>
              <w:rPr>
                <w:rFonts w:eastAsia="Times New Roman" w:cs="Times New Roman" w:ascii="Liberation Serif" w:hAnsi="Liberation Serif"/>
                <w:bCs/>
                <w:i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6"/>
                <w:szCs w:val="26"/>
              </w:rPr>
            </w:pPr>
            <w:r>
              <w:rPr>
                <w:rFonts w:eastAsia="Times New Roman" w:cs="Times New Roman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- Рабочая документация в электронном виде в формате PDF (в количестве 3-х экземпляров);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- Фотоматериалы выполненного объекта</w:t>
            </w: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.</w:t>
            </w:r>
          </w:p>
        </w:tc>
        <w:tc>
          <w:tcPr>
            <w:tcW w:w="1919" w:type="dxa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lineRule="auto" w:line="240" w:before="0" w:after="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64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center"/>
              <w:rPr>
                <w:i/>
                <w:i/>
              </w:rPr>
            </w:pPr>
            <w:r>
              <w:rPr>
                <w:rFonts w:eastAsia="Times New Roman" w:cs="Times New Roman"/>
                <w:b/>
                <w:i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3</w:t>
            </w:r>
          </w:p>
        </w:tc>
        <w:tc>
          <w:tcPr>
            <w:tcW w:w="9931" w:type="dxa"/>
            <w:gridSpan w:val="2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tcMar>
              <w:left w:w="113" w:type="dxa"/>
            </w:tcMar>
            <w:vAlign w:val="center"/>
          </w:tcPr>
          <w:p>
            <w:pPr>
              <w:pStyle w:val="Style35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ascii="Times New Roman" w:hAnsi="Times New Roman" w:cs="Times New Roman"/>
                <w:kern w:val="0"/>
                <w:highlight w:val="none"/>
                <w:shd w:fill="auto" w:val="clear"/>
                <w:lang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Требования к подрядчику (и субподрядчикам) и его обязательствам, влияющим на исполнение договора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tcMar>
              <w:left w:w="113" w:type="dxa"/>
            </w:tcMar>
            <w:vAlign w:val="center"/>
          </w:tcPr>
          <w:p>
            <w:pPr>
              <w:pStyle w:val="Style35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ascii="Times New Roman" w:hAnsi="Times New Roman" w:cs="Times New Roman"/>
                <w:kern w:val="0"/>
                <w:highlight w:val="none"/>
                <w:shd w:fill="auto" w:val="clear"/>
                <w:lang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shd w:fill="auto" w:val="clear"/>
                <w:lang w:val="ru-RU" w:eastAsia="ru-RU" w:bidi="ar-SA"/>
              </w:rPr>
            </w: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tcMar>
              <w:left w:w="113" w:type="dxa"/>
            </w:tcMar>
            <w:vAlign w:val="center"/>
          </w:tcPr>
          <w:p>
            <w:pPr>
              <w:pStyle w:val="Style35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ascii="Times New Roman" w:hAnsi="Times New Roman" w:cs="Times New Roman"/>
                <w:kern w:val="0"/>
                <w:highlight w:val="none"/>
                <w:shd w:fill="auto" w:val="clear"/>
                <w:lang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shd w:fill="auto" w:val="clear"/>
                <w:lang w:val="ru-RU" w:eastAsia="ru-RU" w:bidi="ar-SA"/>
              </w:rPr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3.1</w:t>
            </w:r>
          </w:p>
        </w:tc>
        <w:tc>
          <w:tcPr>
            <w:tcW w:w="2228" w:type="dxa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Требования к субподрядным организациям, привлекаемым к выполнению работ</w:t>
            </w:r>
          </w:p>
        </w:tc>
        <w:tc>
          <w:tcPr>
            <w:tcW w:w="7703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tabs>
                <w:tab w:val="clear" w:pos="708"/>
                <w:tab w:val="left" w:pos="0" w:leader="none"/>
                <w:tab w:val="left" w:pos="993" w:leader="none"/>
              </w:tabs>
              <w:suppressAutoHyphens w:val="true"/>
              <w:spacing w:before="0" w:after="0"/>
              <w:contextualSpacing/>
              <w:jc w:val="left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Необходимо согласовать с Заказчиком субподрядчика, условия договора субподряда, устанавливающие сроки выполнения работ субподрядчиком, а также порядок расчетов Подрядчика с субподрядчиком;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left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Письменно предоставить перечень субподрядных организаций с указанием полных юридических и фактических адресов, привлекаемых на выполнение работ.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993" w:leader="none"/>
              </w:tabs>
              <w:suppressAutoHyphens w:val="true"/>
              <w:spacing w:before="0" w:after="0"/>
              <w:contextualSpacing/>
              <w:jc w:val="left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iCs/>
                <w:kern w:val="0"/>
                <w:sz w:val="25"/>
                <w:szCs w:val="25"/>
                <w:u w:val="single"/>
                <w:shd w:fill="auto" w:val="clear"/>
                <w:lang w:val="ru-RU" w:eastAsia="ru-RU" w:bidi="ar-SA"/>
              </w:rPr>
              <w:t>Подрядчик обязан: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spacing w:before="0" w:after="0"/>
              <w:ind w:left="-25" w:hanging="0"/>
              <w:contextualSpacing/>
              <w:jc w:val="left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iCs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1) при необходимости по предварительному письменному согласованию с Заказчиком заключать договоры субподряда в совокупности не более чем на 50 % от Цены Договора;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spacing w:before="0" w:after="0"/>
              <w:ind w:left="-25" w:hanging="0"/>
              <w:contextualSpacing/>
              <w:jc w:val="left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iCs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2) при заключении договоров субподряда согласовать с Заказчиком субподрядчика, условия договора субподряда, устанавливающие сроки выполнения работ субподрядчиком, а также порядок расчетов Подрядчика с субподрядчиком;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806" w:leader="none"/>
                <w:tab w:val="left" w:pos="1418" w:leader="none"/>
              </w:tabs>
              <w:suppressAutoHyphens w:val="true"/>
              <w:spacing w:before="0" w:after="0"/>
              <w:contextualSpacing/>
              <w:jc w:val="left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iCs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3) при подаче заявки письменно предоставить письмо о согласии и перечень;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993" w:leader="none"/>
                <w:tab w:val="left" w:pos="1418" w:leader="none"/>
              </w:tabs>
              <w:suppressAutoHyphens w:val="true"/>
              <w:spacing w:before="0" w:after="0"/>
              <w:contextualSpacing/>
              <w:jc w:val="left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iCs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субподрядных организаций (с указанием полных юридических и фактических адресов), привлекаемых на выполнение работ.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spacing w:before="0" w:after="0"/>
              <w:ind w:left="-45" w:firstLine="45"/>
              <w:contextualSpacing/>
              <w:jc w:val="left"/>
              <w:rPr>
                <w:sz w:val="25"/>
                <w:szCs w:val="25"/>
              </w:rPr>
            </w:pPr>
            <w:r>
              <w:rPr>
                <w:rFonts w:eastAsia="Times New Roman" w:cs="Times New Roman" w:ascii="Liberation Serif" w:hAnsi="Liberation Serif"/>
                <w:iCs/>
                <w:kern w:val="0"/>
                <w:sz w:val="25"/>
                <w:szCs w:val="25"/>
                <w:shd w:fill="auto" w:val="clear"/>
                <w:lang w:val="x-none" w:eastAsia="ar-SA" w:bidi="ar-SA"/>
              </w:rPr>
              <w:t>При согласовании привлечения Субподрядчика Подрядчик представляет Заказчику: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1418" w:leader="none"/>
              </w:tabs>
              <w:suppressAutoHyphens w:val="true"/>
              <w:spacing w:before="0" w:after="0"/>
              <w:contextualSpacing/>
              <w:jc w:val="left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–</w:t>
            </w:r>
            <w:r>
              <w:rPr>
                <w:rFonts w:eastAsia="Calibri" w:cs="Times New Roman" w:ascii="Liberation Serif" w:hAnsi="Liberation Serif" w:eastAsiaTheme="minorHAnsi"/>
                <w:iCs/>
                <w:kern w:val="0"/>
                <w:sz w:val="25"/>
                <w:szCs w:val="25"/>
                <w:shd w:fill="auto" w:val="clear"/>
                <w:lang w:val="ru-RU" w:eastAsia="ru-RU" w:bidi="ar-SA"/>
              </w:rPr>
              <w:t xml:space="preserve"> </w:t>
            </w:r>
            <w:r>
              <w:rPr>
                <w:rFonts w:eastAsia="Calibri" w:cs="Times New Roman" w:ascii="Liberation Serif" w:hAnsi="Liberation Serif" w:eastAsiaTheme="minorHAnsi"/>
                <w:iCs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проект договора с Субподрядчиком;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1418" w:leader="none"/>
              </w:tabs>
              <w:suppressAutoHyphens w:val="true"/>
              <w:spacing w:before="0" w:after="0"/>
              <w:contextualSpacing/>
              <w:jc w:val="left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–</w:t>
            </w:r>
            <w:r>
              <w:rPr>
                <w:rFonts w:eastAsia="Calibri" w:cs="Times New Roman" w:ascii="Liberation Serif" w:hAnsi="Liberation Serif" w:eastAsiaTheme="minorHAnsi"/>
                <w:iCs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 </w:t>
            </w:r>
            <w:r>
              <w:rPr>
                <w:rFonts w:eastAsia="Calibri" w:cs="Times New Roman" w:ascii="Liberation Serif" w:hAnsi="Liberation Serif" w:eastAsiaTheme="minorHAnsi"/>
                <w:iCs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сведения об объемах выполнения работ Субподрядчиком;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1418" w:leader="none"/>
              </w:tabs>
              <w:suppressAutoHyphens w:val="true"/>
              <w:spacing w:before="0" w:after="0"/>
              <w:contextualSpacing/>
              <w:jc w:val="left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i/>
                <w:iCs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–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 xml:space="preserve"> 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копии документов, подтверждающих наличие у Субподрядчика и его персонала допусков, разрешений и лицензий, необходимых для выполнения Работ;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rFonts w:ascii="Times New Roman" w:hAnsi="Times New Roman" w:eastAsia="Calibri" w:cs="Times New Roman"/>
                <w:iCs/>
                <w:kern w:val="0"/>
                <w:sz w:val="26"/>
                <w:szCs w:val="26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Calibri" w:cs="Times New Roman"/>
                <w:iCs/>
                <w:kern w:val="0"/>
                <w:sz w:val="26"/>
                <w:szCs w:val="26"/>
                <w:shd w:fill="auto" w:val="clear"/>
                <w:lang w:val="ru-RU" w:eastAsia="ru-RU" w:bidi="ar-SA"/>
              </w:rPr>
            </w:r>
          </w:p>
        </w:tc>
        <w:tc>
          <w:tcPr>
            <w:tcW w:w="1919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lineRule="auto" w:line="240" w:before="0" w:after="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643" w:type="dxa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center"/>
              <w:rPr>
                <w:i/>
                <w:i/>
              </w:rPr>
            </w:pPr>
            <w:r>
              <w:rPr>
                <w:rFonts w:cs="Times New Roman"/>
                <w:b/>
                <w:i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-//-</w:t>
            </w:r>
          </w:p>
        </w:tc>
      </w:tr>
    </w:tbl>
    <w:p>
      <w:pPr>
        <w:pStyle w:val="Normal"/>
        <w:jc w:val="center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</w:r>
    </w:p>
    <w:p>
      <w:pPr>
        <w:sectPr>
          <w:headerReference w:type="default" r:id="rId4"/>
          <w:headerReference w:type="first" r:id="rId5"/>
          <w:type w:val="nextPage"/>
          <w:pgSz w:orient="landscape" w:w="16838" w:h="11906"/>
          <w:pgMar w:left="992" w:right="567" w:gutter="0" w:header="680" w:top="851" w:footer="0" w:bottom="851"/>
          <w:pgNumType w:fmt="decimal"/>
          <w:formProt w:val="false"/>
          <w:titlePg/>
          <w:textDirection w:val="lrTb"/>
          <w:docGrid w:type="default" w:linePitch="381" w:charSpace="0"/>
        </w:sectPr>
        <w:pStyle w:val="Normal"/>
        <w:tabs>
          <w:tab w:val="clear" w:pos="708"/>
          <w:tab w:val="left" w:pos="997" w:leader="none"/>
          <w:tab w:val="center" w:pos="4677" w:leader="none"/>
          <w:tab w:val="right" w:pos="9355" w:leader="none"/>
        </w:tabs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  <w:tab/>
      </w:r>
    </w:p>
    <w:p>
      <w:pPr>
        <w:pStyle w:val="Normal"/>
        <w:rPr>
          <w:rFonts w:eastAsia="Calibri"/>
          <w:b/>
          <w:iCs/>
          <w:highlight w:val="none"/>
          <w:shd w:fill="auto" w:val="clear"/>
          <w:lang w:val="x-none" w:eastAsia="x-none"/>
        </w:rPr>
      </w:pPr>
      <w:r>
        <w:rPr>
          <w:rFonts w:eastAsia="Calibri"/>
          <w:b/>
          <w:iCs/>
          <w:shd w:fill="auto" w:val="clear"/>
          <w:lang w:val="x-none" w:eastAsia="x-none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276" w:before="0" w:after="0"/>
        <w:ind w:left="0" w:firstLine="709"/>
        <w:contextualSpacing w:val="false"/>
        <w:jc w:val="both"/>
        <w:rPr>
          <w:highlight w:val="none"/>
          <w:shd w:fill="auto" w:val="clear"/>
        </w:rPr>
      </w:pPr>
      <w:bookmarkStart w:id="21" w:name="_Toc126307933"/>
      <w:r>
        <w:rPr>
          <w:b/>
          <w:bCs/>
          <w:shd w:fill="auto" w:val="clear"/>
        </w:rPr>
        <w:t>Требования к документации по ценообразованию на этапе заключения (исполнения) договора</w:t>
      </w:r>
      <w:bookmarkEnd w:id="21"/>
    </w:p>
    <w:p>
      <w:pPr>
        <w:pStyle w:val="ListParagraph"/>
        <w:widowControl w:val="false"/>
        <w:spacing w:lineRule="auto" w:line="276" w:before="0" w:after="0"/>
        <w:ind w:left="709" w:hanging="0"/>
        <w:contextualSpacing w:val="false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spacing w:lineRule="auto" w:line="276"/>
        <w:ind w:firstLine="709"/>
        <w:jc w:val="both"/>
        <w:rPr>
          <w:highlight w:val="none"/>
          <w:shd w:fill="auto" w:val="clear"/>
        </w:rPr>
      </w:pPr>
      <w:r>
        <w:rPr>
          <w:b/>
          <w:bCs/>
          <w:color w:val="000000"/>
          <w:sz w:val="24"/>
          <w:szCs w:val="24"/>
          <w:shd w:fill="auto" w:val="clear"/>
        </w:rPr>
        <w:t>3.1. Требования к</w:t>
      </w:r>
      <w:r>
        <w:rPr>
          <w:b/>
          <w:color w:val="000000"/>
          <w:sz w:val="24"/>
          <w:szCs w:val="24"/>
          <w:shd w:fill="auto" w:val="clear"/>
        </w:rPr>
        <w:t xml:space="preserve"> составлению сметной документации (при заключении договора):</w:t>
      </w:r>
    </w:p>
    <w:p>
      <w:pPr>
        <w:pStyle w:val="Normal"/>
        <w:tabs>
          <w:tab w:val="clear" w:pos="708"/>
          <w:tab w:val="left" w:pos="709" w:leader="none"/>
        </w:tabs>
        <w:spacing w:lineRule="auto" w:line="276"/>
        <w:ind w:firstLine="709"/>
        <w:jc w:val="both"/>
        <w:rPr>
          <w:highlight w:val="none"/>
          <w:shd w:fill="auto" w:val="clear"/>
        </w:rPr>
      </w:pPr>
      <w:r>
        <w:rPr>
          <w:color w:val="000000"/>
          <w:sz w:val="24"/>
          <w:szCs w:val="24"/>
          <w:shd w:fill="auto" w:val="clear"/>
        </w:rPr>
        <w:t>3.1.1.</w:t>
        <w:tab/>
      </w:r>
      <w:r>
        <w:rPr>
          <w:rFonts w:cs="Times New Roman"/>
          <w:iCs/>
          <w:color w:val="000000"/>
          <w:sz w:val="26"/>
          <w:szCs w:val="26"/>
          <w:shd w:fill="auto" w:val="clear"/>
        </w:rPr>
        <w:t>В обоснование стоимости своей заявки Участник предоставляет Коммерческое предложение по установленной Документации о закупке форме (с учетом прилагаемых к ним инструкций по заполнению), с указанием коэффициента снижения Ki (%) (тендерный коэффициент) (коэффициент указывается с точностью до третьего знака после запятой).</w:t>
      </w:r>
    </w:p>
    <w:p>
      <w:pPr>
        <w:pStyle w:val="Normal"/>
        <w:tabs>
          <w:tab w:val="clear" w:pos="708"/>
          <w:tab w:val="left" w:pos="709" w:leader="none"/>
        </w:tabs>
        <w:spacing w:before="0" w:after="200"/>
        <w:ind w:firstLine="709"/>
        <w:contextualSpacing/>
        <w:jc w:val="both"/>
        <w:rPr>
          <w:highlight w:val="none"/>
          <w:shd w:fill="auto" w:val="clear"/>
        </w:rPr>
      </w:pPr>
      <w:r>
        <w:rPr>
          <w:rFonts w:ascii="Liberation Serif" w:hAnsi="Liberation Serif"/>
          <w:iCs/>
          <w:color w:val="000000"/>
          <w:sz w:val="26"/>
          <w:szCs w:val="26"/>
          <w:shd w:fill="auto" w:val="clear"/>
        </w:rPr>
        <w:t xml:space="preserve">3.1.2. </w:t>
      </w:r>
      <w:r>
        <w:rPr>
          <w:rFonts w:cs="Times New Roman"/>
          <w:iCs/>
          <w:color w:val="000000"/>
          <w:sz w:val="26"/>
          <w:szCs w:val="26"/>
          <w:shd w:fill="auto" w:val="clear"/>
        </w:rPr>
        <w:t xml:space="preserve">Коэффициенты снижения служат только для оценки и сопоставления предложений Участников по соответствующим ценовым (стоимостным) критериям оценки </w:t>
      </w:r>
      <w:bookmarkStart w:id="22" w:name="_Hlk87537450"/>
      <w:r>
        <w:rPr>
          <w:rFonts w:cs="Times New Roman"/>
          <w:iCs/>
          <w:color w:val="000000"/>
          <w:sz w:val="26"/>
          <w:szCs w:val="26"/>
          <w:shd w:fill="auto" w:val="clear"/>
        </w:rPr>
        <w:t xml:space="preserve">к Документации о закупке «Порядок и критерии оценки </w:t>
        <w:br/>
        <w:t>и сопоставления заявок»</w:t>
      </w:r>
      <w:bookmarkEnd w:id="22"/>
      <w:r>
        <w:rPr>
          <w:rFonts w:cs="Times New Roman"/>
          <w:iCs/>
          <w:color w:val="000000"/>
          <w:sz w:val="26"/>
          <w:szCs w:val="26"/>
          <w:shd w:fill="auto" w:val="clear"/>
        </w:rPr>
        <w:t xml:space="preserve">. </w:t>
      </w:r>
    </w:p>
    <w:p>
      <w:pPr>
        <w:pStyle w:val="Normal"/>
        <w:widowControl/>
        <w:tabs>
          <w:tab w:val="clear" w:pos="708"/>
          <w:tab w:val="left" w:pos="0" w:leader="none"/>
          <w:tab w:val="left" w:pos="709" w:leader="none"/>
        </w:tabs>
        <w:suppressAutoHyphens w:val="false"/>
        <w:bidi w:val="0"/>
        <w:spacing w:lineRule="auto" w:line="240" w:before="0" w:after="0"/>
        <w:ind w:left="0" w:right="0" w:firstLine="567"/>
        <w:jc w:val="both"/>
        <w:rPr>
          <w:color w:val="111111"/>
          <w:highlight w:val="none"/>
          <w:shd w:fill="auto" w:val="clear"/>
        </w:rPr>
      </w:pPr>
      <w:r>
        <w:rPr>
          <w:rFonts w:cs="Times New Roman"/>
          <w:iCs/>
          <w:color w:val="111111"/>
          <w:sz w:val="26"/>
          <w:szCs w:val="26"/>
          <w:shd w:fill="auto" w:val="clear"/>
        </w:rPr>
        <w:t>Указываемый Участником понижающий коэффициент K1 -тендерный коэффициент является единым для всех позиций сметной документации, применяемой в дополнительных соглашениях.</w:t>
      </w:r>
    </w:p>
    <w:p>
      <w:pPr>
        <w:pStyle w:val="Normal"/>
        <w:tabs>
          <w:tab w:val="clear" w:pos="708"/>
          <w:tab w:val="left" w:pos="709" w:leader="none"/>
        </w:tabs>
        <w:spacing w:before="0" w:after="200"/>
        <w:ind w:firstLine="709"/>
        <w:contextualSpacing/>
        <w:jc w:val="both"/>
        <w:rPr>
          <w:highlight w:val="none"/>
          <w:shd w:fill="auto" w:val="clear"/>
        </w:rPr>
      </w:pPr>
      <w:r>
        <w:rPr>
          <w:rFonts w:eastAsia="Calibri" w:cs="Times New Roman" w:eastAsiaTheme="minorHAnsi"/>
          <w:iCs/>
          <w:color w:val="000000"/>
          <w:sz w:val="26"/>
          <w:szCs w:val="26"/>
          <w:shd w:fill="auto" w:val="clear"/>
        </w:rPr>
        <w:t>3.1.3. Стоимость за единицу продукции (работы) должна включать в себя налоги, сборы, пошлины и другие обязательные платежи, расходы на содержание, эксплуатацию, перебазировку автотранспорта, спецтехники и механизмов, заправка горюче-смазочными материалами, и прочие расходы, связанные с выполнением работ, предусмотренные Проектом договора.</w:t>
      </w:r>
    </w:p>
    <w:p>
      <w:pPr>
        <w:pStyle w:val="Normal"/>
        <w:tabs>
          <w:tab w:val="clear" w:pos="708"/>
          <w:tab w:val="left" w:pos="709" w:leader="none"/>
        </w:tabs>
        <w:spacing w:before="0" w:after="200"/>
        <w:ind w:firstLine="709"/>
        <w:contextualSpacing/>
        <w:jc w:val="both"/>
        <w:rPr>
          <w:highlight w:val="none"/>
          <w:shd w:fill="auto" w:val="clear"/>
        </w:rPr>
      </w:pPr>
      <w:r>
        <w:rPr>
          <w:rFonts w:eastAsia="Calibri" w:cs="Times New Roman" w:eastAsiaTheme="minorHAnsi"/>
          <w:iCs/>
          <w:color w:val="000000"/>
          <w:sz w:val="26"/>
          <w:szCs w:val="26"/>
          <w:shd w:fill="auto" w:val="clear"/>
        </w:rPr>
        <w:t>3.1.4. Дополнительные документы по ценообразованию (сметная документация) в состав заявки Участника не включается.</w:t>
      </w:r>
    </w:p>
    <w:p>
      <w:pPr>
        <w:pStyle w:val="ListParagraph"/>
        <w:spacing w:lineRule="auto" w:line="276"/>
        <w:ind w:left="0" w:firstLine="709"/>
        <w:jc w:val="both"/>
        <w:rPr>
          <w:highlight w:val="none"/>
          <w:shd w:fill="auto" w:val="clear"/>
        </w:rPr>
      </w:pPr>
      <w:r>
        <w:rPr>
          <w:b/>
          <w:bCs/>
          <w:shd w:fill="auto" w:val="clear"/>
        </w:rPr>
        <w:t xml:space="preserve">4. </w:t>
      </w:r>
      <w:r>
        <w:rPr>
          <w:rFonts w:eastAsia="Times New Roman" w:ascii="Liberation Serif" w:hAnsi="Liberation Serif"/>
          <w:b/>
          <w:bCs/>
          <w:color w:val="000000"/>
          <w:sz w:val="26"/>
          <w:szCs w:val="26"/>
          <w:shd w:fill="auto" w:val="clear"/>
          <w:lang w:val="x-none"/>
        </w:rPr>
        <w:t>Перечень Давальческих материалов и запасных частей, Давальческого оборудования будет указан в техническом требовании при заключении дополнительного соглашения.</w:t>
      </w:r>
    </w:p>
    <w:p>
      <w:pPr>
        <w:pStyle w:val="ListParagraph"/>
        <w:spacing w:lineRule="auto" w:line="276"/>
        <w:ind w:left="0" w:firstLine="709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ListParagraph"/>
        <w:spacing w:lineRule="auto" w:line="276"/>
        <w:ind w:left="0" w:firstLine="709"/>
        <w:jc w:val="both"/>
        <w:rPr>
          <w:highlight w:val="none"/>
          <w:shd w:fill="auto" w:val="clear"/>
        </w:rPr>
      </w:pPr>
      <w:r>
        <w:rPr>
          <w:rFonts w:eastAsia="Times New Roman" w:ascii="Liberation Serif" w:hAnsi="Liberation Serif"/>
          <w:b/>
          <w:bCs/>
          <w:color w:val="000000"/>
          <w:sz w:val="26"/>
          <w:szCs w:val="26"/>
          <w:shd w:fill="auto" w:val="clear"/>
          <w:lang w:val="x-none"/>
        </w:rPr>
        <w:t xml:space="preserve">5. </w:t>
      </w:r>
      <w:r>
        <w:rPr>
          <w:rFonts w:eastAsia="Times New Roman" w:cs="Times New Roman"/>
          <w:b/>
          <w:bCs/>
          <w:color w:val="000000"/>
          <w:sz w:val="26"/>
          <w:szCs w:val="26"/>
          <w:shd w:fill="auto" w:val="clear"/>
          <w:lang w:val="x-none"/>
        </w:rPr>
        <w:t>Требования к документации по ценообразованию на этапе исполнения договора.</w:t>
      </w:r>
    </w:p>
    <w:p>
      <w:pPr>
        <w:pStyle w:val="Normal"/>
        <w:widowControl/>
        <w:suppressAutoHyphens w:val="false"/>
        <w:bidi w:val="0"/>
        <w:spacing w:before="0" w:after="0"/>
        <w:ind w:left="0" w:right="0" w:firstLine="567"/>
        <w:jc w:val="both"/>
        <w:rPr>
          <w:highlight w:val="none"/>
          <w:shd w:fill="auto" w:val="clear"/>
        </w:rPr>
      </w:pPr>
      <w:r>
        <w:rPr>
          <w:rFonts w:cs="Times New Roman"/>
          <w:sz w:val="26"/>
          <w:szCs w:val="26"/>
          <w:shd w:fill="auto" w:val="clear"/>
        </w:rPr>
        <w:t>5.1. Порядок расчета стоимости работ по дополнительным соглашениям устанавливается пунктом 3 договора подряда.</w:t>
      </w:r>
    </w:p>
    <w:p>
      <w:pPr>
        <w:pStyle w:val="ListParagraph"/>
        <w:spacing w:lineRule="auto" w:line="276"/>
        <w:ind w:left="0" w:firstLine="709"/>
        <w:jc w:val="both"/>
        <w:rPr>
          <w:b w:val="false"/>
          <w:bCs w:val="false"/>
          <w:highlight w:val="none"/>
          <w:shd w:fill="auto" w:val="clear"/>
        </w:rPr>
      </w:pPr>
      <w:r>
        <w:rPr>
          <w:rFonts w:eastAsia="" w:cs="Times New Roman" w:eastAsiaTheme="majorEastAsia"/>
          <w:b w:val="false"/>
          <w:bCs w:val="false"/>
          <w:color w:val="000000"/>
          <w:sz w:val="26"/>
          <w:szCs w:val="26"/>
          <w:shd w:fill="auto" w:val="clear"/>
          <w:lang w:val="x-none"/>
        </w:rPr>
        <w:t>5.2.</w:t>
        <w:tab/>
        <w:t>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требованиями, указанными в приложении № 2 к настоящим Техническим требованиям, с применением понижающего коэффициента, определенного по результатам конкурентной процедуры.</w:t>
      </w:r>
    </w:p>
    <w:p>
      <w:pPr>
        <w:pStyle w:val="Normal"/>
        <w:ind w:firstLine="567"/>
        <w:jc w:val="both"/>
        <w:rPr>
          <w:sz w:val="24"/>
          <w:szCs w:val="24"/>
          <w:highlight w:val="none"/>
          <w:shd w:fill="auto" w:val="clear"/>
        </w:rPr>
      </w:pPr>
      <w:r>
        <w:rPr>
          <w:sz w:val="24"/>
          <w:szCs w:val="24"/>
          <w:shd w:fill="auto" w:val="clear"/>
        </w:rPr>
      </w:r>
    </w:p>
    <w:p>
      <w:pPr>
        <w:pStyle w:val="Heading1"/>
        <w:keepLines/>
        <w:tabs>
          <w:tab w:val="clear" w:pos="0"/>
        </w:tabs>
        <w:spacing w:before="120" w:after="0"/>
        <w:ind w:left="0" w:firstLine="567"/>
        <w:rPr>
          <w:sz w:val="26"/>
          <w:szCs w:val="26"/>
          <w:highlight w:val="none"/>
          <w:shd w:fill="auto" w:val="clear"/>
        </w:rPr>
      </w:pPr>
      <w:bookmarkStart w:id="23" w:name="_Toc54646413"/>
      <w:bookmarkEnd w:id="23"/>
      <w:r>
        <w:rPr>
          <w:i/>
          <w:iCs/>
          <w:sz w:val="26"/>
          <w:szCs w:val="26"/>
          <w:shd w:fill="auto" w:val="clear"/>
        </w:rPr>
        <w:t>Приложения</w:t>
      </w:r>
    </w:p>
    <w:p>
      <w:pPr>
        <w:pStyle w:val="Normal"/>
        <w:ind w:firstLine="567"/>
        <w:jc w:val="both"/>
        <w:rPr>
          <w:highlight w:val="none"/>
          <w:shd w:fill="auto" w:val="clear"/>
        </w:rPr>
      </w:pPr>
      <w:r>
        <w:rPr>
          <w:i/>
          <w:iCs/>
          <w:sz w:val="26"/>
          <w:szCs w:val="26"/>
          <w:shd w:fill="auto" w:val="clear"/>
        </w:rPr>
        <w:t xml:space="preserve">Приложение № </w:t>
      </w:r>
      <w:r>
        <w:rPr>
          <w:i/>
          <w:iCs/>
          <w:sz w:val="26"/>
          <w:szCs w:val="26"/>
          <w:shd w:fill="auto" w:val="clear"/>
        </w:rPr>
        <w:t>1</w:t>
      </w:r>
      <w:r>
        <w:rPr>
          <w:i/>
          <w:iCs/>
          <w:sz w:val="26"/>
          <w:szCs w:val="26"/>
          <w:shd w:fill="auto" w:val="clear"/>
        </w:rPr>
        <w:t>. Требования к оформлению и составлению сметной документации  на    выполнение работ при новом строительстве;</w:t>
      </w:r>
    </w:p>
    <w:p>
      <w:pPr>
        <w:pStyle w:val="Normal"/>
        <w:ind w:firstLine="567"/>
        <w:jc w:val="both"/>
        <w:rPr>
          <w:highlight w:val="none"/>
          <w:shd w:fill="auto" w:val="clear"/>
        </w:rPr>
      </w:pPr>
      <w:r>
        <w:rPr>
          <w:i/>
          <w:iCs/>
          <w:sz w:val="26"/>
          <w:szCs w:val="26"/>
          <w:shd w:fill="auto" w:val="clear"/>
        </w:rPr>
        <w:t>Приложение №</w:t>
      </w:r>
      <w:r>
        <w:rPr>
          <w:i/>
          <w:iCs/>
          <w:sz w:val="26"/>
          <w:szCs w:val="26"/>
          <w:shd w:fill="auto" w:val="clear"/>
        </w:rPr>
        <w:t xml:space="preserve"> </w:t>
      </w:r>
      <w:r>
        <w:rPr>
          <w:i/>
          <w:iCs/>
          <w:sz w:val="26"/>
          <w:szCs w:val="26"/>
          <w:shd w:fill="auto" w:val="clear"/>
        </w:rPr>
        <w:t>2.</w:t>
      </w:r>
      <w:r>
        <w:rPr>
          <w:i/>
          <w:iCs/>
          <w:sz w:val="26"/>
          <w:szCs w:val="26"/>
          <w:shd w:fill="auto" w:val="clear"/>
        </w:rPr>
        <w:t xml:space="preserve"> Регламент по координированию опор ВЛ и ТП в системе координат WGS-84.</w:t>
      </w:r>
    </w:p>
    <w:sectPr>
      <w:headerReference w:type="default" r:id="rId6"/>
      <w:headerReference w:type="first" r:id="rId7"/>
      <w:type w:val="nextPage"/>
      <w:pgSz w:w="11906" w:h="16838"/>
      <w:pgMar w:left="1134" w:right="851" w:gutter="0" w:header="680" w:top="1134" w:footer="0" w:bottom="992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Tahoma">
    <w:charset w:val="01"/>
    <w:family w:val="roman"/>
    <w:pitch w:val="variable"/>
  </w:font>
  <w:font w:name="Symbo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roman"/>
    <w:pitch w:val="variable"/>
  </w:font>
  <w:font w:name="Liberation Serif">
    <w:altName w:val="Times New Roman"/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t>2</w: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19</w:t>
    </w:r>
    <w:r>
      <w:rPr/>
      <w:fldChar w:fldCharType="end"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effect w:val="none"/>
        <w:szCs w:val="28"/>
        <w:iCs w:val="false"/>
        <w:bCs w:val="false"/>
        <w:em w:val="none"/>
        <w:vanish w:val="false"/>
        <w:rFonts w:cs="Times New Roman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b/>
        <w:bCs/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42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574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06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10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14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18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022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526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102" w:hanging="144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3"/>
      <w:numFmt w:val="decimal"/>
      <w:suff w:val="space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5">
    <w:lvl w:ilvl="0">
      <w:start w:val="1"/>
      <w:numFmt w:val="decimal"/>
      <w:lvlText w:val="%1"/>
      <w:lvlJc w:val="left"/>
      <w:pPr>
        <w:tabs>
          <w:tab w:val="num" w:pos="0"/>
        </w:tabs>
        <w:ind w:left="502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10618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link w:val="1"/>
    <w:qFormat/>
    <w:rsid w:val="00353a27"/>
    <w:pPr>
      <w:outlineLvl w:val="0"/>
    </w:pPr>
    <w:rPr>
      <w:sz w:val="28"/>
      <w:szCs w:val="28"/>
    </w:rPr>
  </w:style>
  <w:style w:type="paragraph" w:styleId="Heading2">
    <w:name w:val="Heading 2"/>
    <w:basedOn w:val="Heading4"/>
    <w:link w:val="2"/>
    <w:qFormat/>
    <w:rsid w:val="00ea61a8"/>
    <w:pPr>
      <w:tabs>
        <w:tab w:val="clear" w:pos="0"/>
      </w:tabs>
      <w:outlineLvl w:val="1"/>
    </w:pPr>
    <w:rPr/>
  </w:style>
  <w:style w:type="paragraph" w:styleId="Heading3">
    <w:name w:val="Heading 3"/>
    <w:basedOn w:val="Normal"/>
    <w:link w:val="3"/>
    <w:autoRedefine/>
    <w:qFormat/>
    <w:rsid w:val="00035e96"/>
    <w:pPr>
      <w:keepNext w:val="true"/>
      <w:tabs>
        <w:tab w:val="clear" w:pos="708"/>
        <w:tab w:val="left" w:pos="0" w:leader="none"/>
      </w:tabs>
      <w:spacing w:before="120" w:after="60"/>
      <w:ind w:left="1247" w:hanging="1304"/>
      <w:jc w:val="both"/>
      <w:outlineLvl w:val="2"/>
    </w:pPr>
    <w:rPr>
      <w:rFonts w:eastAsia="Calibri"/>
      <w:b/>
      <w:bCs/>
      <w:sz w:val="24"/>
      <w:szCs w:val="24"/>
      <w:lang w:val="x-none" w:eastAsia="x-none"/>
    </w:rPr>
  </w:style>
  <w:style w:type="paragraph" w:styleId="Heading4">
    <w:name w:val="Heading 4"/>
    <w:basedOn w:val="Heading3"/>
    <w:link w:val="4"/>
    <w:qFormat/>
    <w:rsid w:val="006629c9"/>
    <w:pPr>
      <w:outlineLvl w:val="3"/>
    </w:pPr>
    <w:rPr/>
  </w:style>
  <w:style w:type="paragraph" w:styleId="Heading5">
    <w:name w:val="Heading 5"/>
    <w:basedOn w:val="Normal"/>
    <w:link w:val="5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link w:val="6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link w:val="7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link w:val="8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link w:val="9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qFormat/>
    <w:rsid w:val="00d561d9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Hyperlink" w:customStyle="1">
    <w:name w:val="Hyperlink"/>
    <w:basedOn w:val="DefaultParagraphFont"/>
    <w:uiPriority w:val="99"/>
    <w:unhideWhenUsed/>
    <w:rsid w:val="008e2ae8"/>
    <w:rPr>
      <w:color w:val="0563C1" w:themeColor="hyperlink"/>
      <w:u w:val="single"/>
    </w:rPr>
  </w:style>
  <w:style w:type="character" w:styleId="Annotationreference">
    <w:name w:val="annotation reference"/>
    <w:uiPriority w:val="99"/>
    <w:semiHidden/>
    <w:qFormat/>
    <w:rsid w:val="00b714b0"/>
    <w:rPr>
      <w:sz w:val="16"/>
      <w:szCs w:val="16"/>
    </w:rPr>
  </w:style>
  <w:style w:type="character" w:styleId="Strong">
    <w:name w:val="Strong"/>
    <w:qFormat/>
    <w:rsid w:val="00165965"/>
    <w:rPr>
      <w:b/>
      <w:bCs/>
    </w:rPr>
  </w:style>
  <w:style w:type="character" w:styleId="6" w:customStyle="1">
    <w:name w:val="Заголовок 6 Знак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" w:customStyle="1">
    <w:name w:val="Заголовок 1 Знак"/>
    <w:qFormat/>
    <w:rsid w:val="00353a27"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sid w:val="00035e96"/>
    <w:rPr>
      <w:rFonts w:eastAsia="Calibri"/>
      <w:b/>
      <w:bCs/>
      <w:color w:val="00000A"/>
      <w:sz w:val="24"/>
      <w:szCs w:val="24"/>
      <w:lang w:val="x-none" w:eastAsia="x-none"/>
    </w:rPr>
  </w:style>
  <w:style w:type="character" w:styleId="4" w:customStyle="1">
    <w:name w:val="Заголовок 4 Знак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uiPriority w:val="9"/>
    <w:qFormat/>
    <w:rsid w:val="00d22f6d"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1" w:customStyle="1">
    <w:name w:val="Название Знак"/>
    <w:uiPriority w:val="10"/>
    <w:qFormat/>
    <w:rsid w:val="00d22f6d"/>
    <w:rPr>
      <w:sz w:val="28"/>
    </w:rPr>
  </w:style>
  <w:style w:type="character" w:styleId="Style2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uiPriority w:val="20"/>
    <w:qFormat/>
    <w:rsid w:val="00d22f6d"/>
    <w:rPr>
      <w:i/>
      <w:iCs/>
    </w:rPr>
  </w:style>
  <w:style w:type="character" w:styleId="21" w:customStyle="1">
    <w:name w:val="Цитата 2 Знак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4" w:customStyle="1">
    <w:name w:val="Электронная подпись Знак"/>
    <w:uiPriority w:val="99"/>
    <w:qFormat/>
    <w:rsid w:val="00d22f6d"/>
    <w:rPr>
      <w:rFonts w:eastAsia="Calibri"/>
      <w:sz w:val="24"/>
      <w:szCs w:val="24"/>
    </w:rPr>
  </w:style>
  <w:style w:type="character" w:styleId="11" w:customStyle="1">
    <w:name w:val="Заголовок 1 Знак1"/>
    <w:qFormat/>
    <w:locked/>
    <w:rsid w:val="00d22f6d"/>
    <w:rPr>
      <w:sz w:val="28"/>
    </w:rPr>
  </w:style>
  <w:style w:type="character" w:styleId="Style5" w:customStyle="1">
    <w:name w:val="Текст сноски Знак"/>
    <w:uiPriority w:val="99"/>
    <w:qFormat/>
    <w:rsid w:val="00d22f6d"/>
    <w:rPr/>
  </w:style>
  <w:style w:type="character" w:styleId="Style6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7" w:customStyle="1">
    <w:name w:val="Абзац списка Знак"/>
    <w:uiPriority w:val="34"/>
    <w:qFormat/>
    <w:locked/>
    <w:rsid w:val="00310eb4"/>
    <w:rPr>
      <w:rFonts w:eastAsia="Calibri"/>
      <w:sz w:val="24"/>
      <w:szCs w:val="24"/>
    </w:rPr>
  </w:style>
  <w:style w:type="character" w:styleId="Style8" w:customStyle="1">
    <w:name w:val="комментарий"/>
    <w:qFormat/>
    <w:rsid w:val="0025139e"/>
    <w:rPr>
      <w:i/>
      <w:shd w:fill="FFFF99" w:val="clear"/>
    </w:rPr>
  </w:style>
  <w:style w:type="character" w:styleId="Style9" w:customStyle="1">
    <w:name w:val="Подподпункт Знак"/>
    <w:qFormat/>
    <w:locked/>
    <w:rsid w:val="0025139e"/>
    <w:rPr>
      <w:sz w:val="26"/>
      <w:szCs w:val="26"/>
    </w:rPr>
  </w:style>
  <w:style w:type="character" w:styleId="31" w:customStyle="1">
    <w:name w:val="Заголовок 3 Знак1"/>
    <w:qFormat/>
    <w:rsid w:val="00b56f46"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1" w:customStyle="1">
    <w:name w:val="Текст примечания Знак"/>
    <w:semiHidden/>
    <w:qFormat/>
    <w:rsid w:val="00dc0f7d"/>
    <w:rPr/>
  </w:style>
  <w:style w:type="character" w:styleId="Style12" w:customStyle="1">
    <w:name w:val="Текст концевой сноски Знак"/>
    <w:basedOn w:val="DefaultParagraphFont"/>
    <w:qFormat/>
    <w:rsid w:val="003879d4"/>
    <w:rPr/>
  </w:style>
  <w:style w:type="character" w:styleId="Style13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 w:customStyle="1">
    <w:name w:val="Endnote Characters"/>
    <w:basedOn w:val="DefaultParagraphFont"/>
    <w:qFormat/>
    <w:rsid w:val="003879d4"/>
    <w:rPr>
      <w:vertAlign w:val="superscript"/>
    </w:rPr>
  </w:style>
  <w:style w:type="character" w:styleId="22" w:customStyle="1">
    <w:name w:val="Пункт2 Знак"/>
    <w:qFormat/>
    <w:rsid w:val="00de52bc"/>
    <w:rPr>
      <w:b/>
      <w:sz w:val="28"/>
    </w:rPr>
  </w:style>
  <w:style w:type="character" w:styleId="12" w:customStyle="1">
    <w:name w:val="УРОВЕНЬ_1. Знак"/>
    <w:qFormat/>
    <w:rsid w:val="004a17ae"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uiPriority w:val="99"/>
    <w:semiHidden/>
    <w:unhideWhenUsed/>
    <w:qFormat/>
    <w:rsid w:val="00c36f30"/>
    <w:rPr>
      <w:color w:val="605E5C"/>
      <w:shd w:fill="E1DFDD" w:val="clear"/>
    </w:rPr>
  </w:style>
  <w:style w:type="character" w:styleId="32" w:customStyle="1">
    <w:name w:val="Оглавление 3 Знак"/>
    <w:link w:val="35"/>
    <w:qFormat/>
    <w:rsid w:val="00c36f30"/>
    <w:rPr>
      <w:sz w:val="16"/>
      <w:szCs w:val="16"/>
    </w:rPr>
  </w:style>
  <w:style w:type="character" w:styleId="D9fyld" w:customStyle="1">
    <w:name w:val="d9fyld"/>
    <w:basedOn w:val="DefaultParagraphFont"/>
    <w:qFormat/>
    <w:rsid w:val="00630f30"/>
    <w:rPr/>
  </w:style>
  <w:style w:type="character" w:styleId="Style14" w:customStyle="1">
    <w:name w:val="Ссылка указателя"/>
    <w:qFormat/>
    <w:rPr/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sid w:val="008e2ae8"/>
    <w:rPr>
      <w:color w:val="605E5C"/>
      <w:shd w:fill="E1DFDD" w:val="clear"/>
    </w:rPr>
  </w:style>
  <w:style w:type="character" w:styleId="Style15" w:customStyle="1">
    <w:name w:val="Маркеры списка"/>
    <w:qFormat/>
    <w:rPr>
      <w:rFonts w:ascii="OpenSymbol" w:hAnsi="OpenSymbol" w:eastAsia="OpenSymbol" w:cs="OpenSymbol"/>
    </w:rPr>
  </w:style>
  <w:style w:type="character" w:styleId="FollowedHyperlink" w:customStyle="1">
    <w:name w:val="FollowedHyperlink"/>
    <w:basedOn w:val="DefaultParagraphFont"/>
    <w:rPr>
      <w:color w:val="954F72"/>
      <w:u w:val="single"/>
    </w:rPr>
  </w:style>
  <w:style w:type="character" w:styleId="Clipboard" w:customStyle="1">
    <w:name w:val="clipboard"/>
    <w:basedOn w:val="DefaultParagraphFont"/>
    <w:qFormat/>
    <w:rPr/>
  </w:style>
  <w:style w:type="character" w:styleId="Style16" w:customStyle="1">
    <w:name w:val="Символ нумерации"/>
    <w:qFormat/>
    <w:rPr/>
  </w:style>
  <w:style w:type="character" w:styleId="WW8Num1z0" w:customStyle="1">
    <w:name w:val="WW8Num1z0"/>
    <w:qFormat/>
    <w:rPr>
      <w:rFonts w:ascii="Times New Roman" w:hAnsi="Times New Roman" w:cs="Times New Roman"/>
      <w:sz w:val="18"/>
      <w:szCs w:val="18"/>
    </w:rPr>
  </w:style>
  <w:style w:type="character" w:styleId="14" w:customStyle="1">
    <w:name w:val="Знак концевой сноски1"/>
    <w:qFormat/>
    <w:rPr>
      <w:vertAlign w:val="superscript"/>
    </w:rPr>
  </w:style>
  <w:style w:type="character" w:styleId="15" w:customStyle="1">
    <w:name w:val="Гиперссылка1"/>
    <w:qFormat/>
    <w:rPr>
      <w:color w:val="0000FF"/>
      <w:u w:val="single"/>
    </w:rPr>
  </w:style>
  <w:style w:type="character" w:styleId="FontStyle16" w:customStyle="1">
    <w:name w:val="Font Style16"/>
    <w:qFormat/>
    <w:rPr>
      <w:rFonts w:ascii="Times New Roman" w:hAnsi="Times New Roman" w:cs="Times New Roman"/>
      <w:sz w:val="24"/>
      <w:szCs w:val="24"/>
    </w:rPr>
  </w:style>
  <w:style w:type="character" w:styleId="Style17" w:customStyle="1">
    <w:name w:val="Основной текст с отступом Знак"/>
    <w:qFormat/>
    <w:rPr>
      <w:sz w:val="28"/>
      <w:szCs w:val="28"/>
    </w:rPr>
  </w:style>
  <w:style w:type="character" w:styleId="Style18" w:customStyle="1">
    <w:name w:val="Заголовок Знак"/>
    <w:qFormat/>
    <w:rPr>
      <w:b/>
      <w:sz w:val="22"/>
      <w:szCs w:val="22"/>
      <w:shd w:fill="FFFFFF" w:val="clear"/>
    </w:rPr>
  </w:style>
  <w:style w:type="character" w:styleId="33" w:customStyle="1">
    <w:name w:val="Основной текст 3 Знак"/>
    <w:qFormat/>
    <w:rPr>
      <w:color w:val="0000FF"/>
      <w:sz w:val="24"/>
      <w:szCs w:val="24"/>
      <w:lang w:eastAsia="en-US"/>
    </w:rPr>
  </w:style>
  <w:style w:type="character" w:styleId="Style19" w:customStyle="1">
    <w:name w:val="Нижний колонтитул Знак"/>
    <w:qFormat/>
    <w:rPr>
      <w:sz w:val="28"/>
      <w:szCs w:val="28"/>
    </w:rPr>
  </w:style>
  <w:style w:type="character" w:styleId="Style20" w:customStyle="1">
    <w:name w:val="Тема примечания Знак"/>
    <w:qFormat/>
    <w:rPr>
      <w:b/>
      <w:bCs/>
    </w:rPr>
  </w:style>
  <w:style w:type="character" w:styleId="41" w:customStyle="1">
    <w:name w:val="4. Отчерк Знак"/>
    <w:qFormat/>
    <w:rPr>
      <w:sz w:val="24"/>
      <w:szCs w:val="24"/>
      <w:lang w:val="x-none" w:eastAsia="x-none"/>
    </w:rPr>
  </w:style>
  <w:style w:type="character" w:styleId="16" w:customStyle="1">
    <w:name w:val="1. Статья Знак"/>
    <w:qFormat/>
    <w:rPr>
      <w:sz w:val="24"/>
      <w:szCs w:val="24"/>
      <w:lang w:val="x-none" w:eastAsia="x-none"/>
    </w:rPr>
  </w:style>
  <w:style w:type="character" w:styleId="Style21" w:customStyle="1">
    <w:name w:val="Текст выноски Знак"/>
    <w:qFormat/>
    <w:rPr>
      <w:rFonts w:ascii="Tahoma" w:hAnsi="Tahoma" w:cs="Tahoma"/>
      <w:sz w:val="16"/>
      <w:szCs w:val="16"/>
    </w:rPr>
  </w:style>
  <w:style w:type="character" w:styleId="34" w:customStyle="1">
    <w:name w:val="3. Подпункт Знак"/>
    <w:qFormat/>
    <w:rPr>
      <w:b/>
      <w:bCs/>
      <w:sz w:val="24"/>
      <w:szCs w:val="24"/>
      <w:lang w:val="x-none" w:eastAsia="x-none"/>
    </w:rPr>
  </w:style>
  <w:style w:type="character" w:styleId="17" w:customStyle="1">
    <w:name w:val="Знак сноски1"/>
    <w:qFormat/>
    <w:rPr>
      <w:vertAlign w:val="superscript"/>
    </w:rPr>
  </w:style>
  <w:style w:type="character" w:styleId="WW8Num2z0">
    <w:name w:val="WW8Num2z0"/>
    <w:qFormat/>
    <w:rPr>
      <w:rFonts w:ascii="Symbol" w:hAnsi="Symbol" w:cs="Symbol"/>
    </w:rPr>
  </w:style>
  <w:style w:type="character" w:styleId="WW8Num3z0">
    <w:name w:val="WW8Num3z0"/>
    <w:qFormat/>
    <w:rPr>
      <w:rFonts w:ascii="Symbol" w:hAnsi="Symbol" w:cs="Symbol"/>
    </w:rPr>
  </w:style>
  <w:style w:type="character" w:styleId="Style22">
    <w:name w:val="Основной шрифт абзаца"/>
    <w:qFormat/>
    <w:rPr/>
  </w:style>
  <w:style w:type="paragraph" w:styleId="Style2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rsid w:val="0076353a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lang w:val="zxx" w:eastAsia="zxx" w:bidi="zxx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Indexheading11" w:customStyle="1">
    <w:name w:val="index heading11"/>
    <w:basedOn w:val="Normal"/>
    <w:qFormat/>
    <w:pPr>
      <w:suppressLineNumbers/>
    </w:pPr>
    <w:rPr>
      <w:rFonts w:cs="Lohit Devanagari"/>
    </w:rPr>
  </w:style>
  <w:style w:type="paragraph" w:styleId="Style25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26" w:customStyle="1">
    <w:name w:val="Раздел положения"/>
    <w:basedOn w:val="Normal"/>
    <w:autoRedefine/>
    <w:qFormat/>
    <w:rsid w:val="007475ee"/>
    <w:pPr>
      <w:spacing w:before="80" w:after="80"/>
      <w:jc w:val="center"/>
    </w:pPr>
    <w:rPr>
      <w:b/>
      <w:sz w:val="32"/>
      <w:szCs w:val="32"/>
    </w:rPr>
  </w:style>
  <w:style w:type="paragraph" w:styleId="Style27" w:customStyle="1">
    <w:name w:val="Подраздел раздела положения"/>
    <w:basedOn w:val="Normal"/>
    <w:autoRedefine/>
    <w:qFormat/>
    <w:rsid w:val="007475ee"/>
    <w:pPr>
      <w:spacing w:before="80" w:after="80"/>
      <w:jc w:val="both"/>
    </w:pPr>
    <w:rPr/>
  </w:style>
  <w:style w:type="paragraph" w:styleId="FootnoteText">
    <w:name w:val="Footnote Text"/>
    <w:basedOn w:val="Normal"/>
    <w:uiPriority w:val="99"/>
    <w:qFormat/>
    <w:rsid w:val="00d561d9"/>
    <w:pPr/>
    <w:rPr>
      <w:sz w:val="20"/>
      <w:szCs w:val="20"/>
    </w:rPr>
  </w:style>
  <w:style w:type="paragraph" w:styleId="18" w:customStyle="1">
    <w:name w:val="Шапка 1"/>
    <w:basedOn w:val="Normal"/>
    <w:qFormat/>
    <w:rsid w:val="00d561d9"/>
    <w:pPr>
      <w:pBdr>
        <w:bottom w:val="thickThinSmallGap" w:sz="24" w:space="1" w:color="00000A"/>
      </w:pBdr>
      <w:spacing w:before="0" w:after="240"/>
      <w:jc w:val="center"/>
    </w:pPr>
    <w:rPr>
      <w:sz w:val="22"/>
      <w:szCs w:val="22"/>
    </w:rPr>
  </w:style>
  <w:style w:type="paragraph" w:styleId="211" w:customStyle="1">
    <w:name w:val="Заголовок 2 Знак1"/>
    <w:basedOn w:val="Normal"/>
    <w:qFormat/>
    <w:rsid w:val="00d561d9"/>
    <w:pPr>
      <w:pBdr>
        <w:bottom w:val="thickThinSmallGap" w:sz="24" w:space="1" w:color="00000A"/>
      </w:pBdr>
      <w:spacing w:before="0" w:after="120"/>
      <w:jc w:val="center"/>
    </w:pPr>
    <w:rPr>
      <w:b/>
      <w:sz w:val="22"/>
      <w:szCs w:val="22"/>
    </w:rPr>
  </w:style>
  <w:style w:type="paragraph" w:styleId="35" w:customStyle="1">
    <w:name w:val="Шапка 3"/>
    <w:basedOn w:val="Normal"/>
    <w:link w:val="32"/>
    <w:qFormat/>
    <w:rsid w:val="00d561d9"/>
    <w:pPr>
      <w:pBdr>
        <w:bottom w:val="thickThinSmallGap" w:sz="24" w:space="1" w:color="00000A"/>
      </w:pBdr>
      <w:spacing w:before="240" w:after="360"/>
      <w:jc w:val="center"/>
    </w:pPr>
    <w:rPr>
      <w:b/>
      <w:sz w:val="24"/>
      <w:szCs w:val="24"/>
    </w:rPr>
  </w:style>
  <w:style w:type="paragraph" w:styleId="19" w:customStyle="1">
    <w:name w:val="Название1"/>
    <w:basedOn w:val="Normal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28" w:customStyle="1">
    <w:name w:val="Колонтитул"/>
    <w:basedOn w:val="Normal"/>
    <w:qFormat/>
    <w:pPr/>
    <w:rPr/>
  </w:style>
  <w:style w:type="paragraph" w:styleId="Header">
    <w:name w:val="Header"/>
    <w:basedOn w:val="Normal"/>
    <w:rsid w:val="0076353a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rsid w:val="0076353a"/>
    <w:pPr>
      <w:ind w:left="360" w:hanging="0"/>
    </w:pPr>
    <w:rPr>
      <w:sz w:val="24"/>
      <w:szCs w:val="24"/>
    </w:rPr>
  </w:style>
  <w:style w:type="paragraph" w:styleId="Footer">
    <w:name w:val="Footer"/>
    <w:basedOn w:val="Normal"/>
    <w:rsid w:val="007635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9" w:customStyle="1">
    <w:name w:val="Подпункт"/>
    <w:basedOn w:val="Normal"/>
    <w:qFormat/>
    <w:rsid w:val="0076353a"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3" w:customStyle="1">
    <w:name w:val="Пункт2"/>
    <w:basedOn w:val="Normal"/>
    <w:qFormat/>
    <w:rsid w:val="0076353a"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autoRedefine/>
    <w:uiPriority w:val="39"/>
    <w:rsid w:val="008870d9"/>
    <w:pPr>
      <w:tabs>
        <w:tab w:val="clear" w:pos="708"/>
        <w:tab w:val="right" w:pos="9911" w:leader="dot"/>
      </w:tabs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autoRedefine/>
    <w:uiPriority w:val="39"/>
    <w:rsid w:val="00c01756"/>
    <w:pPr>
      <w:ind w:left="280" w:hanging="0"/>
    </w:pPr>
    <w:rPr>
      <w:rFonts w:cs="Calibri" w:cstheme="minorHAnsi"/>
      <w:sz w:val="20"/>
      <w:szCs w:val="20"/>
    </w:rPr>
  </w:style>
  <w:style w:type="paragraph" w:styleId="Style30" w:customStyle="1">
    <w:name w:val="Раздел регламента"/>
    <w:basedOn w:val="Normal"/>
    <w:qFormat/>
    <w:rsid w:val="00e228fa"/>
    <w:pPr/>
    <w:rPr/>
  </w:style>
  <w:style w:type="paragraph" w:styleId="Style31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TOC2">
    <w:name w:val="TOC 2"/>
    <w:basedOn w:val="Normal"/>
    <w:autoRedefine/>
    <w:uiPriority w:val="39"/>
    <w:rsid w:val="00c01756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semiHidden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semiHidden/>
    <w:qFormat/>
    <w:rsid w:val="00b714b0"/>
    <w:pPr/>
    <w:rPr>
      <w:b/>
      <w:bCs/>
    </w:rPr>
  </w:style>
  <w:style w:type="paragraph" w:styleId="110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autoRedefine/>
    <w:semiHidden/>
    <w:rsid w:val="00f57628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autoRedefine/>
    <w:semiHidden/>
    <w:rsid w:val="00f57628"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autoRedefine/>
    <w:uiPriority w:val="39"/>
    <w:rsid w:val="00c01756"/>
    <w:pPr>
      <w:ind w:left="560" w:hanging="0"/>
    </w:pPr>
    <w:rPr>
      <w:rFonts w:cs="Calibri" w:cstheme="minorHAnsi"/>
      <w:sz w:val="20"/>
      <w:szCs w:val="20"/>
    </w:rPr>
  </w:style>
  <w:style w:type="paragraph" w:styleId="24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32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Subtitle">
    <w:name w:val="Subtitle"/>
    <w:basedOn w:val="Normal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d22f6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23"/>
    <w:pPr/>
    <w:rPr/>
  </w:style>
  <w:style w:type="paragraph" w:styleId="TOCHeading">
    <w:name w:val="TOC Heading"/>
    <w:basedOn w:val="Heading1"/>
    <w:uiPriority w:val="39"/>
    <w:qFormat/>
    <w:rsid w:val="00d22f6d"/>
    <w:pPr>
      <w:keepLines/>
      <w:tabs>
        <w:tab w:val="clear" w:pos="0"/>
      </w:tabs>
      <w:spacing w:before="480" w:after="60"/>
    </w:pPr>
    <w:rPr>
      <w:rFonts w:ascii="Cambria" w:hAnsi="Cambria"/>
      <w:color w:val="365F91"/>
    </w:rPr>
  </w:style>
  <w:style w:type="paragraph" w:styleId="E-mailSignature">
    <w:name w:val="E-mail Signature"/>
    <w:basedOn w:val="Normal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33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6" w:customStyle="1">
    <w:name w:val="Основной текст с отступом 3 Знак"/>
    <w:basedOn w:val="Normal"/>
    <w:qFormat/>
    <w:rsid w:val="00d22f6d"/>
    <w:pPr>
      <w:jc w:val="both"/>
    </w:pPr>
    <w:rPr>
      <w:rFonts w:ascii="Garamond" w:hAnsi="Garamond"/>
      <w:sz w:val="24"/>
      <w:szCs w:val="20"/>
    </w:rPr>
  </w:style>
  <w:style w:type="paragraph" w:styleId="311" w:customStyle="1">
    <w:name w:val="Список 31"/>
    <w:basedOn w:val="Normal"/>
    <w:qFormat/>
    <w:rsid w:val="00d22f6d"/>
    <w:pPr>
      <w:spacing w:before="120" w:after="0"/>
      <w:jc w:val="both"/>
    </w:pPr>
    <w:rPr>
      <w:rFonts w:ascii="Garamond" w:hAnsi="Garamond"/>
      <w:sz w:val="24"/>
      <w:szCs w:val="20"/>
    </w:rPr>
  </w:style>
  <w:style w:type="paragraph" w:styleId="25" w:customStyle="1">
    <w:name w:val="Нумерованный список ур2"/>
    <w:basedOn w:val="Normal"/>
    <w:qFormat/>
    <w:rsid w:val="00d22f6d"/>
    <w:p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A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00000A"/>
      <w:kern w:val="0"/>
      <w:sz w:val="28"/>
      <w:szCs w:val="20"/>
      <w:lang w:val="ru-RU" w:eastAsia="ru-RU" w:bidi="ar-SA"/>
    </w:rPr>
  </w:style>
  <w:style w:type="paragraph" w:styleId="37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34" w:customStyle="1">
    <w:name w:val="Пункт"/>
    <w:basedOn w:val="Normal"/>
    <w:qFormat/>
    <w:rsid w:val="00d22f6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11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35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36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37" w:customStyle="1">
    <w:name w:val="Подподпункт"/>
    <w:basedOn w:val="Style29"/>
    <w:qFormat/>
    <w:rsid w:val="0025139e"/>
    <w:pPr>
      <w:tabs>
        <w:tab w:val="left" w:pos="1134" w:leader="none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38" w:customStyle="1">
    <w:name w:val="УРОВЕНЬ_(а)"/>
    <w:basedOn w:val="ListParagraph"/>
    <w:qFormat/>
    <w:rsid w:val="00b56f46"/>
    <w:pPr>
      <w:spacing w:lineRule="exact" w:line="360" w:before="120" w:after="0"/>
      <w:contextualSpacing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rsid w:val="00b56f46"/>
    <w:pPr>
      <w:spacing w:lineRule="exact" w:line="360" w:before="120" w:after="0"/>
      <w:contextualSpacing/>
      <w:jc w:val="both"/>
      <w:outlineLvl w:val="4"/>
    </w:pPr>
    <w:rPr>
      <w:sz w:val="26"/>
      <w:szCs w:val="28"/>
      <w:lang w:eastAsia="en-US"/>
    </w:rPr>
  </w:style>
  <w:style w:type="paragraph" w:styleId="26" w:customStyle="1">
    <w:name w:val="УРОВЕНЬ_Абзац_тип2"/>
    <w:basedOn w:val="ListParagraph"/>
    <w:qFormat/>
    <w:rsid w:val="00b56f46"/>
    <w:pPr>
      <w:spacing w:lineRule="exact" w:line="360" w:before="120" w:after="0"/>
      <w:contextualSpacing/>
      <w:jc w:val="both"/>
    </w:pPr>
    <w:rPr>
      <w:sz w:val="26"/>
      <w:szCs w:val="28"/>
      <w:lang w:eastAsia="en-US"/>
    </w:rPr>
  </w:style>
  <w:style w:type="paragraph" w:styleId="312" w:customStyle="1">
    <w:name w:val="Основной текст с отступом 3 Знак1"/>
    <w:basedOn w:val="ListParagraph"/>
    <w:qFormat/>
    <w:rsid w:val="00b56f46"/>
    <w:pPr>
      <w:spacing w:lineRule="exact" w:line="360" w:before="120" w:after="0"/>
      <w:contextualSpacing/>
      <w:jc w:val="both"/>
    </w:pPr>
    <w:rPr>
      <w:sz w:val="26"/>
      <w:szCs w:val="28"/>
      <w:lang w:eastAsia="en-US"/>
    </w:rPr>
  </w:style>
  <w:style w:type="paragraph" w:styleId="Style39" w:customStyle="1">
    <w:name w:val="УРОВЕНЬ_Подпись"/>
    <w:basedOn w:val="ListParagraph"/>
    <w:qFormat/>
    <w:rsid w:val="00b56f46"/>
    <w:pPr>
      <w:keepNext w:val="true"/>
      <w:spacing w:lineRule="exact" w:line="360" w:before="120" w:after="120"/>
      <w:contextualSpacing/>
      <w:jc w:val="right"/>
      <w:outlineLvl w:val="3"/>
    </w:pPr>
    <w:rPr>
      <w:sz w:val="26"/>
      <w:szCs w:val="28"/>
      <w:lang w:eastAsia="en-US"/>
    </w:rPr>
  </w:style>
  <w:style w:type="paragraph" w:styleId="112" w:customStyle="1">
    <w:name w:val="Стиль Заголовок 1 + по ширине"/>
    <w:basedOn w:val="Heading1"/>
    <w:qFormat/>
    <w:rsid w:val="005773b2"/>
    <w:pPr>
      <w:keepLines/>
      <w:tabs>
        <w:tab w:val="clear" w:pos="0"/>
        <w:tab w:val="left" w:pos="567" w:leader="none"/>
      </w:tabs>
      <w:spacing w:before="480" w:after="240"/>
      <w:ind w:left="567" w:hanging="567"/>
    </w:pPr>
    <w:rPr>
      <w:rFonts w:ascii="Arial" w:hAnsi="Arial" w:eastAsia="Times New Roman"/>
      <w:sz w:val="40"/>
      <w:szCs w:val="20"/>
      <w:lang w:val="ru-RU" w:eastAsia="ru-RU"/>
    </w:rPr>
  </w:style>
  <w:style w:type="paragraph" w:styleId="EndnoteText">
    <w:name w:val="Endnote Text"/>
    <w:basedOn w:val="Normal"/>
    <w:qFormat/>
    <w:rsid w:val="003879d4"/>
    <w:pPr/>
    <w:rPr>
      <w:sz w:val="20"/>
      <w:szCs w:val="20"/>
    </w:rPr>
  </w:style>
  <w:style w:type="paragraph" w:styleId="27" w:customStyle="1">
    <w:name w:val="Заголовок 2 КВВ"/>
    <w:basedOn w:val="Normal"/>
    <w:qFormat/>
    <w:rsid w:val="00cb35e8"/>
    <w:pPr>
      <w:keepNext w:val="true"/>
      <w:spacing w:before="120" w:after="120"/>
      <w:jc w:val="both"/>
      <w:outlineLvl w:val="0"/>
    </w:pPr>
    <w:rPr>
      <w:b/>
      <w:sz w:val="24"/>
      <w:szCs w:val="20"/>
      <w:lang w:eastAsia="x-none"/>
    </w:rPr>
  </w:style>
  <w:style w:type="paragraph" w:styleId="Style40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13" w:customStyle="1">
    <w:name w:val="УРОВЕНЬ_1."/>
    <w:basedOn w:val="ListParagraph"/>
    <w:qFormat/>
    <w:rsid w:val="004a17ae"/>
    <w:pPr>
      <w:keepNext w:val="true"/>
      <w:keepLines/>
      <w:spacing w:lineRule="auto" w:line="276" w:before="240" w:after="120"/>
      <w:ind w:left="0" w:hanging="0"/>
      <w:contextualSpacing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autoRedefine/>
    <w:unhideWhenUsed/>
    <w:rsid w:val="00d849aa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autoRedefine/>
    <w:unhideWhenUsed/>
    <w:rsid w:val="00d849aa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autoRedefine/>
    <w:unhideWhenUsed/>
    <w:rsid w:val="00d849aa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Default" w:customStyle="1">
    <w:name w:val="Default"/>
    <w:qFormat/>
    <w:rsid w:val="008b715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Style41" w:customStyle="1">
    <w:name w:val="Содержимое врезки"/>
    <w:basedOn w:val="Normal"/>
    <w:qFormat/>
    <w:pPr/>
    <w:rPr/>
  </w:style>
  <w:style w:type="paragraph" w:styleId="Style42" w:customStyle="1">
    <w:name w:val="Содержимое таблицы"/>
    <w:basedOn w:val="Normal"/>
    <w:qFormat/>
    <w:pPr>
      <w:widowControl w:val="false"/>
      <w:suppressLineNumbers/>
    </w:pPr>
    <w:rPr>
      <w:sz w:val="20"/>
      <w:szCs w:val="20"/>
    </w:rPr>
  </w:style>
  <w:style w:type="paragraph" w:styleId="Xl154" w:customStyle="1">
    <w:name w:val="xl154"/>
    <w:basedOn w:val="Normal"/>
    <w:qFormat/>
    <w:pPr>
      <w:pBdr>
        <w:top w:val="single" w:sz="8" w:space="0" w:color="000000"/>
        <w:bottom w:val="single" w:sz="4" w:space="0" w:color="000000"/>
        <w:right w:val="single" w:sz="8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53" w:customStyle="1">
    <w:name w:val="xl153"/>
    <w:basedOn w:val="Normal"/>
    <w:qFormat/>
    <w:pPr>
      <w:pBdr>
        <w:top w:val="single" w:sz="8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52" w:customStyle="1">
    <w:name w:val="xl152"/>
    <w:basedOn w:val="Normal"/>
    <w:qFormat/>
    <w:pPr>
      <w:pBdr>
        <w:top w:val="single" w:sz="8" w:space="0" w:color="000000"/>
        <w:left w:val="single" w:sz="8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51" w:customStyle="1">
    <w:name w:val="xl151"/>
    <w:basedOn w:val="Normal"/>
    <w:qFormat/>
    <w:pPr>
      <w:pBdr>
        <w:top w:val="single" w:sz="4" w:space="0" w:color="000000"/>
        <w:bottom w:val="single" w:sz="8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4"/>
      <w:szCs w:val="24"/>
    </w:rPr>
  </w:style>
  <w:style w:type="paragraph" w:styleId="Xl150" w:customStyle="1">
    <w:name w:val="xl150"/>
    <w:basedOn w:val="Normal"/>
    <w:qFormat/>
    <w:pPr>
      <w:pBdr>
        <w:top w:val="single" w:sz="4" w:space="0" w:color="000000"/>
        <w:bottom w:val="single" w:sz="8" w:space="0" w:color="000000"/>
      </w:pBdr>
      <w:suppressAutoHyphens w:val="false"/>
      <w:spacing w:before="280" w:after="280"/>
      <w:jc w:val="center"/>
    </w:pPr>
    <w:rPr>
      <w:sz w:val="24"/>
      <w:szCs w:val="24"/>
    </w:rPr>
  </w:style>
  <w:style w:type="paragraph" w:styleId="Xl149" w:customStyle="1">
    <w:name w:val="xl149"/>
    <w:basedOn w:val="Normal"/>
    <w:qFormat/>
    <w:pPr>
      <w:pBdr>
        <w:top w:val="single" w:sz="4" w:space="0" w:color="000000"/>
        <w:left w:val="single" w:sz="4" w:space="0" w:color="000000"/>
        <w:bottom w:val="single" w:sz="8" w:space="0" w:color="000000"/>
      </w:pBdr>
      <w:suppressAutoHyphens w:val="false"/>
      <w:spacing w:before="280" w:after="280"/>
      <w:jc w:val="center"/>
    </w:pPr>
    <w:rPr>
      <w:sz w:val="24"/>
      <w:szCs w:val="24"/>
    </w:rPr>
  </w:style>
  <w:style w:type="paragraph" w:styleId="Xl148" w:customStyle="1">
    <w:name w:val="xl148"/>
    <w:basedOn w:val="Normal"/>
    <w:qFormat/>
    <w:pPr>
      <w:pBdr>
        <w:bottom w:val="single" w:sz="4" w:space="0" w:color="000000"/>
        <w:right w:val="single" w:sz="8" w:space="0" w:color="000000"/>
      </w:pBdr>
      <w:suppressAutoHyphens w:val="false"/>
      <w:spacing w:before="280" w:after="280"/>
      <w:jc w:val="center"/>
    </w:pPr>
    <w:rPr>
      <w:sz w:val="16"/>
      <w:szCs w:val="16"/>
    </w:rPr>
  </w:style>
  <w:style w:type="paragraph" w:styleId="Xl147" w:customStyle="1">
    <w:name w:val="xl147"/>
    <w:basedOn w:val="Normal"/>
    <w:qFormat/>
    <w:pPr>
      <w:pBdr>
        <w:bottom w:val="single" w:sz="4" w:space="0" w:color="000000"/>
      </w:pBdr>
      <w:suppressAutoHyphens w:val="false"/>
      <w:spacing w:before="280" w:after="280"/>
      <w:jc w:val="center"/>
    </w:pPr>
    <w:rPr>
      <w:sz w:val="16"/>
      <w:szCs w:val="16"/>
    </w:rPr>
  </w:style>
  <w:style w:type="paragraph" w:styleId="Xl146" w:customStyle="1">
    <w:name w:val="xl146"/>
    <w:basedOn w:val="Normal"/>
    <w:qFormat/>
    <w:pPr>
      <w:pBdr>
        <w:left w:val="single" w:sz="8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16"/>
      <w:szCs w:val="16"/>
    </w:rPr>
  </w:style>
  <w:style w:type="paragraph" w:styleId="Xl145" w:customStyle="1">
    <w:name w:val="xl145"/>
    <w:basedOn w:val="Normal"/>
    <w:qFormat/>
    <w:pPr>
      <w:pBdr>
        <w:top w:val="single" w:sz="4" w:space="0" w:color="000000"/>
        <w:right w:val="single" w:sz="8" w:space="0" w:color="000000"/>
      </w:pBdr>
      <w:suppressAutoHyphens w:val="false"/>
      <w:spacing w:before="280" w:after="280"/>
      <w:jc w:val="center"/>
    </w:pPr>
    <w:rPr>
      <w:sz w:val="16"/>
      <w:szCs w:val="16"/>
    </w:rPr>
  </w:style>
  <w:style w:type="paragraph" w:styleId="Xl144" w:customStyle="1">
    <w:name w:val="xl144"/>
    <w:basedOn w:val="Normal"/>
    <w:qFormat/>
    <w:pPr>
      <w:pBdr>
        <w:top w:val="single" w:sz="4" w:space="0" w:color="000000"/>
      </w:pBdr>
      <w:suppressAutoHyphens w:val="false"/>
      <w:spacing w:before="280" w:after="280"/>
      <w:jc w:val="center"/>
    </w:pPr>
    <w:rPr>
      <w:sz w:val="16"/>
      <w:szCs w:val="16"/>
    </w:rPr>
  </w:style>
  <w:style w:type="paragraph" w:styleId="Xl143" w:customStyle="1">
    <w:name w:val="xl143"/>
    <w:basedOn w:val="Normal"/>
    <w:qFormat/>
    <w:pPr>
      <w:pBdr>
        <w:top w:val="single" w:sz="4" w:space="0" w:color="000000"/>
        <w:left w:val="single" w:sz="8" w:space="0" w:color="000000"/>
      </w:pBdr>
      <w:suppressAutoHyphens w:val="false"/>
      <w:spacing w:before="280" w:after="280"/>
      <w:jc w:val="center"/>
    </w:pPr>
    <w:rPr>
      <w:sz w:val="16"/>
      <w:szCs w:val="16"/>
    </w:rPr>
  </w:style>
  <w:style w:type="paragraph" w:styleId="Xl142" w:customStyle="1">
    <w:name w:val="xl142"/>
    <w:basedOn w:val="Normal"/>
    <w:qFormat/>
    <w:pPr>
      <w:pBdr>
        <w:top w:val="single" w:sz="4" w:space="0" w:color="000000"/>
      </w:pBdr>
      <w:suppressAutoHyphens w:val="false"/>
      <w:spacing w:before="280" w:after="280"/>
      <w:jc w:val="right"/>
    </w:pPr>
    <w:rPr>
      <w:sz w:val="20"/>
      <w:szCs w:val="20"/>
    </w:rPr>
  </w:style>
  <w:style w:type="paragraph" w:styleId="Xl141" w:customStyle="1">
    <w:name w:val="xl141"/>
    <w:basedOn w:val="Normal"/>
    <w:qFormat/>
    <w:pPr>
      <w:pBdr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40" w:customStyle="1">
    <w:name w:val="xl140"/>
    <w:basedOn w:val="Normal"/>
    <w:qFormat/>
    <w:pPr>
      <w:pBdr>
        <w:bottom w:val="single" w:sz="4" w:space="0" w:color="000000"/>
        <w:right w:val="single" w:sz="8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39" w:customStyle="1">
    <w:name w:val="xl139"/>
    <w:basedOn w:val="Normal"/>
    <w:qFormat/>
    <w:pPr>
      <w:pBdr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38" w:customStyle="1">
    <w:name w:val="xl138"/>
    <w:basedOn w:val="Normal"/>
    <w:qFormat/>
    <w:pPr>
      <w:pBdr>
        <w:left w:val="single" w:sz="8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37" w:customStyle="1">
    <w:name w:val="xl137"/>
    <w:basedOn w:val="Normal"/>
    <w:qFormat/>
    <w:pPr>
      <w:pBdr>
        <w:top w:val="single" w:sz="4" w:space="0" w:color="000000"/>
        <w:right w:val="single" w:sz="8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36" w:customStyle="1">
    <w:name w:val="xl136"/>
    <w:basedOn w:val="Normal"/>
    <w:qFormat/>
    <w:pPr>
      <w:pBdr>
        <w:top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35" w:customStyle="1">
    <w:name w:val="xl135"/>
    <w:basedOn w:val="Normal"/>
    <w:qFormat/>
    <w:pPr>
      <w:pBdr>
        <w:top w:val="single" w:sz="4" w:space="0" w:color="000000"/>
        <w:left w:val="single" w:sz="8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34" w:customStyle="1">
    <w:name w:val="xl134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18"/>
      <w:szCs w:val="18"/>
    </w:rPr>
  </w:style>
  <w:style w:type="paragraph" w:styleId="Xl133" w:customStyle="1">
    <w:name w:val="xl133"/>
    <w:basedOn w:val="Normal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18"/>
      <w:szCs w:val="18"/>
    </w:rPr>
  </w:style>
  <w:style w:type="paragraph" w:styleId="Xl132" w:customStyle="1">
    <w:name w:val="xl132"/>
    <w:basedOn w:val="Normal"/>
    <w:qFormat/>
    <w:pPr>
      <w:pBdr>
        <w:top w:val="single" w:sz="4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18"/>
      <w:szCs w:val="18"/>
    </w:rPr>
  </w:style>
  <w:style w:type="paragraph" w:styleId="Xl131" w:customStyle="1">
    <w:name w:val="xl13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18"/>
      <w:szCs w:val="18"/>
    </w:rPr>
  </w:style>
  <w:style w:type="paragraph" w:styleId="Xl130" w:customStyle="1">
    <w:name w:val="xl130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18"/>
      <w:szCs w:val="18"/>
    </w:rPr>
  </w:style>
  <w:style w:type="paragraph" w:styleId="Xl129" w:customStyle="1">
    <w:name w:val="xl12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18"/>
      <w:szCs w:val="18"/>
    </w:rPr>
  </w:style>
  <w:style w:type="paragraph" w:styleId="Xl128" w:customStyle="1">
    <w:name w:val="xl128"/>
    <w:basedOn w:val="Normal"/>
    <w:qFormat/>
    <w:pPr>
      <w:pBdr>
        <w:top w:val="single" w:sz="4" w:space="0" w:color="000000"/>
        <w:bottom w:val="single" w:sz="8" w:space="0" w:color="000000"/>
        <w:right w:val="single" w:sz="8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27" w:customStyle="1">
    <w:name w:val="xl127"/>
    <w:basedOn w:val="Normal"/>
    <w:qFormat/>
    <w:pPr>
      <w:pBdr>
        <w:top w:val="single" w:sz="4" w:space="0" w:color="000000"/>
        <w:bottom w:val="single" w:sz="8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26" w:customStyle="1">
    <w:name w:val="xl126"/>
    <w:basedOn w:val="Normal"/>
    <w:qFormat/>
    <w:pPr>
      <w:pBdr>
        <w:top w:val="single" w:sz="4" w:space="0" w:color="000000"/>
        <w:left w:val="single" w:sz="8" w:space="0" w:color="000000"/>
        <w:bottom w:val="single" w:sz="8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25" w:customStyle="1">
    <w:name w:val="xl125"/>
    <w:basedOn w:val="Normal"/>
    <w:qFormat/>
    <w:pPr>
      <w:pBdr>
        <w:right w:val="single" w:sz="8" w:space="0" w:color="000000"/>
      </w:pBdr>
      <w:suppressAutoHyphens w:val="false"/>
      <w:spacing w:before="280" w:after="280"/>
      <w:jc w:val="right"/>
    </w:pPr>
    <w:rPr>
      <w:sz w:val="20"/>
      <w:szCs w:val="20"/>
    </w:rPr>
  </w:style>
  <w:style w:type="paragraph" w:styleId="Xl124" w:customStyle="1">
    <w:name w:val="xl124"/>
    <w:basedOn w:val="Normal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23" w:customStyle="1">
    <w:name w:val="xl123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22" w:customStyle="1">
    <w:name w:val="xl122"/>
    <w:basedOn w:val="Normal"/>
    <w:qFormat/>
    <w:pPr>
      <w:pBdr>
        <w:right w:val="single" w:sz="4" w:space="0" w:color="000000"/>
      </w:pBdr>
      <w:suppressAutoHyphens w:val="false"/>
      <w:spacing w:before="280" w:after="280"/>
      <w:jc w:val="right"/>
    </w:pPr>
    <w:rPr>
      <w:sz w:val="20"/>
      <w:szCs w:val="20"/>
    </w:rPr>
  </w:style>
  <w:style w:type="paragraph" w:styleId="Xl121" w:customStyle="1">
    <w:name w:val="xl121"/>
    <w:basedOn w:val="Normal"/>
    <w:qFormat/>
    <w:pPr>
      <w:pBdr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20" w:customStyle="1">
    <w:name w:val="xl120"/>
    <w:basedOn w:val="Normal"/>
    <w:qFormat/>
    <w:pPr>
      <w:suppressAutoHyphens w:val="false"/>
      <w:spacing w:before="280" w:after="280"/>
      <w:jc w:val="center"/>
    </w:pPr>
    <w:rPr>
      <w:b/>
      <w:bCs/>
      <w:sz w:val="24"/>
      <w:szCs w:val="24"/>
    </w:rPr>
  </w:style>
  <w:style w:type="paragraph" w:styleId="Xl119" w:customStyle="1">
    <w:name w:val="xl119"/>
    <w:basedOn w:val="Normal"/>
    <w:qFormat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18" w:customStyle="1">
    <w:name w:val="xl118"/>
    <w:basedOn w:val="Normal"/>
    <w:qFormat/>
    <w:pPr>
      <w:pBdr>
        <w:top w:val="single" w:sz="8" w:space="0" w:color="000000"/>
        <w:left w:val="single" w:sz="4" w:space="0" w:color="000000"/>
        <w:bottom w:val="single" w:sz="8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17" w:customStyle="1">
    <w:name w:val="xl117"/>
    <w:basedOn w:val="Normal"/>
    <w:qFormat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16" w:customStyle="1">
    <w:name w:val="xl116"/>
    <w:basedOn w:val="Normal"/>
    <w:qFormat/>
    <w:pPr>
      <w:pBdr>
        <w:top w:val="single" w:sz="8" w:space="0" w:color="000000"/>
        <w:bottom w:val="single" w:sz="8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15" w:customStyle="1">
    <w:name w:val="xl115"/>
    <w:basedOn w:val="Normal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14" w:customStyle="1">
    <w:name w:val="xl11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</w:pPr>
    <w:rPr>
      <w:sz w:val="20"/>
      <w:szCs w:val="20"/>
    </w:rPr>
  </w:style>
  <w:style w:type="paragraph" w:styleId="Xl113" w:customStyle="1">
    <w:name w:val="xl113"/>
    <w:basedOn w:val="Normal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12" w:customStyle="1">
    <w:name w:val="xl112"/>
    <w:basedOn w:val="Normal"/>
    <w:qFormat/>
    <w:pPr>
      <w:pBdr>
        <w:top w:val="single" w:sz="4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11" w:customStyle="1">
    <w:name w:val="xl11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10" w:customStyle="1">
    <w:name w:val="xl110"/>
    <w:basedOn w:val="Normal"/>
    <w:qFormat/>
    <w:pPr>
      <w:pBdr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09" w:customStyle="1">
    <w:name w:val="xl109"/>
    <w:basedOn w:val="Normal"/>
    <w:qFormat/>
    <w:pPr>
      <w:pBdr>
        <w:top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08" w:customStyle="1">
    <w:name w:val="xl108"/>
    <w:basedOn w:val="Normal"/>
    <w:qFormat/>
    <w:pPr>
      <w:pBdr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07" w:customStyle="1">
    <w:name w:val="xl107"/>
    <w:basedOn w:val="Normal"/>
    <w:qFormat/>
    <w:pPr>
      <w:pBdr>
        <w:left w:val="single" w:sz="4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06" w:customStyle="1">
    <w:name w:val="xl106"/>
    <w:basedOn w:val="Normal"/>
    <w:qFormat/>
    <w:pPr>
      <w:pBdr>
        <w:top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05" w:customStyle="1">
    <w:name w:val="xl105"/>
    <w:basedOn w:val="Normal"/>
    <w:qFormat/>
    <w:pPr>
      <w:pBdr>
        <w:top w:val="single" w:sz="4" w:space="0" w:color="000000"/>
        <w:left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04" w:customStyle="1">
    <w:name w:val="xl104"/>
    <w:basedOn w:val="Normal"/>
    <w:qFormat/>
    <w:pPr>
      <w:pBdr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4"/>
      <w:szCs w:val="24"/>
    </w:rPr>
  </w:style>
  <w:style w:type="paragraph" w:styleId="Xl103" w:customStyle="1">
    <w:name w:val="xl103"/>
    <w:basedOn w:val="Normal"/>
    <w:qFormat/>
    <w:pPr>
      <w:pBdr>
        <w:bottom w:val="single" w:sz="4" w:space="0" w:color="000000"/>
      </w:pBdr>
      <w:suppressAutoHyphens w:val="false"/>
      <w:spacing w:before="280" w:after="280"/>
      <w:jc w:val="center"/>
    </w:pPr>
    <w:rPr>
      <w:sz w:val="24"/>
      <w:szCs w:val="24"/>
    </w:rPr>
  </w:style>
  <w:style w:type="paragraph" w:styleId="Xl102" w:customStyle="1">
    <w:name w:val="xl102"/>
    <w:basedOn w:val="Normal"/>
    <w:qFormat/>
    <w:pPr>
      <w:pBdr>
        <w:left w:val="single" w:sz="4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24"/>
      <w:szCs w:val="24"/>
    </w:rPr>
  </w:style>
  <w:style w:type="paragraph" w:styleId="Xl101" w:customStyle="1">
    <w:name w:val="xl10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00" w:customStyle="1">
    <w:name w:val="xl100"/>
    <w:basedOn w:val="Normal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99" w:customStyle="1">
    <w:name w:val="xl99"/>
    <w:basedOn w:val="Normal"/>
    <w:qFormat/>
    <w:pPr>
      <w:pBdr>
        <w:top w:val="single" w:sz="4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98" w:customStyle="1">
    <w:name w:val="xl9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97" w:customStyle="1">
    <w:name w:val="xl97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96" w:customStyle="1">
    <w:name w:val="xl96"/>
    <w:basedOn w:val="Normal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95" w:customStyle="1">
    <w:name w:val="xl95"/>
    <w:basedOn w:val="Normal"/>
    <w:qFormat/>
    <w:pPr>
      <w:pBdr>
        <w:top w:val="single" w:sz="4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94" w:customStyle="1">
    <w:name w:val="xl9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93" w:customStyle="1">
    <w:name w:val="xl93"/>
    <w:basedOn w:val="Normal"/>
    <w:qFormat/>
    <w:pPr>
      <w:pBdr>
        <w:top w:val="single" w:sz="4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92" w:customStyle="1">
    <w:name w:val="xl92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91" w:customStyle="1">
    <w:name w:val="xl9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</w:pPr>
    <w:rPr>
      <w:sz w:val="20"/>
      <w:szCs w:val="20"/>
    </w:rPr>
  </w:style>
  <w:style w:type="paragraph" w:styleId="Xl90" w:customStyle="1">
    <w:name w:val="xl9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89" w:customStyle="1">
    <w:name w:val="xl89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4"/>
      <w:szCs w:val="24"/>
    </w:rPr>
  </w:style>
  <w:style w:type="paragraph" w:styleId="Xl88" w:customStyle="1">
    <w:name w:val="xl88"/>
    <w:basedOn w:val="Normal"/>
    <w:qFormat/>
    <w:pPr>
      <w:pBdr>
        <w:top w:val="single" w:sz="4" w:space="0" w:color="000000"/>
      </w:pBdr>
      <w:suppressAutoHyphens w:val="false"/>
      <w:spacing w:before="280" w:after="280"/>
      <w:jc w:val="center"/>
    </w:pPr>
    <w:rPr>
      <w:sz w:val="16"/>
      <w:szCs w:val="16"/>
    </w:rPr>
  </w:style>
  <w:style w:type="paragraph" w:styleId="Xl87" w:customStyle="1">
    <w:name w:val="xl87"/>
    <w:basedOn w:val="Normal"/>
    <w:qFormat/>
    <w:pPr>
      <w:pBdr>
        <w:bottom w:val="single" w:sz="4" w:space="0" w:color="000000"/>
      </w:pBdr>
      <w:suppressAutoHyphens w:val="false"/>
      <w:spacing w:before="280" w:after="280"/>
      <w:jc w:val="center"/>
    </w:pPr>
    <w:rPr>
      <w:sz w:val="24"/>
      <w:szCs w:val="24"/>
    </w:rPr>
  </w:style>
  <w:style w:type="paragraph" w:styleId="Xl86" w:customStyle="1">
    <w:name w:val="xl86"/>
    <w:basedOn w:val="Normal"/>
    <w:qFormat/>
    <w:pPr>
      <w:suppressAutoHyphens w:val="false"/>
      <w:spacing w:before="280" w:after="280"/>
      <w:jc w:val="center"/>
    </w:pPr>
    <w:rPr>
      <w:sz w:val="18"/>
      <w:szCs w:val="18"/>
    </w:rPr>
  </w:style>
  <w:style w:type="paragraph" w:styleId="Xl85" w:customStyle="1">
    <w:name w:val="xl85"/>
    <w:basedOn w:val="Normal"/>
    <w:qFormat/>
    <w:pPr>
      <w:suppressAutoHyphens w:val="false"/>
      <w:spacing w:before="280" w:after="280"/>
    </w:pPr>
    <w:rPr>
      <w:b/>
      <w:bCs/>
      <w:sz w:val="24"/>
      <w:szCs w:val="24"/>
    </w:rPr>
  </w:style>
  <w:style w:type="paragraph" w:styleId="Xl84" w:customStyle="1">
    <w:name w:val="xl84"/>
    <w:basedOn w:val="Normal"/>
    <w:qFormat/>
    <w:pPr>
      <w:suppressAutoHyphens w:val="false"/>
      <w:spacing w:before="280" w:after="280"/>
      <w:jc w:val="right"/>
    </w:pPr>
    <w:rPr>
      <w:sz w:val="24"/>
      <w:szCs w:val="24"/>
    </w:rPr>
  </w:style>
  <w:style w:type="paragraph" w:styleId="Xl83" w:customStyle="1">
    <w:name w:val="xl83"/>
    <w:basedOn w:val="Normal"/>
    <w:qFormat/>
    <w:pPr>
      <w:suppressAutoHyphens w:val="false"/>
      <w:spacing w:before="280" w:after="280"/>
    </w:pPr>
    <w:rPr>
      <w:sz w:val="24"/>
      <w:szCs w:val="24"/>
    </w:rPr>
  </w:style>
  <w:style w:type="paragraph" w:styleId="Xl82" w:customStyle="1">
    <w:name w:val="xl82"/>
    <w:basedOn w:val="Normal"/>
    <w:qFormat/>
    <w:pPr>
      <w:suppressAutoHyphens w:val="false"/>
      <w:spacing w:before="280" w:after="280"/>
    </w:pPr>
    <w:rPr>
      <w:sz w:val="20"/>
      <w:szCs w:val="20"/>
    </w:rPr>
  </w:style>
  <w:style w:type="paragraph" w:styleId="Xl81" w:customStyle="1">
    <w:name w:val="xl81"/>
    <w:basedOn w:val="Normal"/>
    <w:qFormat/>
    <w:pPr>
      <w:suppressAutoHyphens w:val="false"/>
      <w:spacing w:before="280" w:after="280"/>
    </w:pPr>
    <w:rPr>
      <w:sz w:val="20"/>
      <w:szCs w:val="20"/>
    </w:rPr>
  </w:style>
  <w:style w:type="paragraph" w:styleId="Xl80" w:customStyle="1">
    <w:name w:val="xl80"/>
    <w:basedOn w:val="Normal"/>
    <w:qFormat/>
    <w:pPr>
      <w:suppressAutoHyphens w:val="false"/>
      <w:spacing w:before="280" w:after="280"/>
      <w:jc w:val="center"/>
    </w:pPr>
    <w:rPr>
      <w:sz w:val="20"/>
      <w:szCs w:val="20"/>
    </w:rPr>
  </w:style>
  <w:style w:type="paragraph" w:styleId="Xl79" w:customStyle="1">
    <w:name w:val="xl79"/>
    <w:basedOn w:val="Normal"/>
    <w:qFormat/>
    <w:pPr>
      <w:suppressAutoHyphens w:val="false"/>
      <w:spacing w:before="280" w:after="280"/>
      <w:jc w:val="center"/>
    </w:pPr>
    <w:rPr>
      <w:sz w:val="20"/>
      <w:szCs w:val="20"/>
    </w:rPr>
  </w:style>
  <w:style w:type="paragraph" w:styleId="Xl78" w:customStyle="1">
    <w:name w:val="xl78"/>
    <w:basedOn w:val="Normal"/>
    <w:qFormat/>
    <w:pPr>
      <w:suppressAutoHyphens w:val="false"/>
      <w:spacing w:before="280" w:after="280"/>
      <w:jc w:val="center"/>
    </w:pPr>
    <w:rPr>
      <w:sz w:val="20"/>
      <w:szCs w:val="20"/>
    </w:rPr>
  </w:style>
  <w:style w:type="paragraph" w:styleId="Xl77" w:customStyle="1">
    <w:name w:val="xl77"/>
    <w:basedOn w:val="Normal"/>
    <w:qFormat/>
    <w:pPr>
      <w:suppressAutoHyphens w:val="false"/>
      <w:spacing w:before="280" w:after="280"/>
    </w:pPr>
    <w:rPr>
      <w:sz w:val="20"/>
      <w:szCs w:val="20"/>
    </w:rPr>
  </w:style>
  <w:style w:type="paragraph" w:styleId="Xl76" w:customStyle="1">
    <w:name w:val="xl76"/>
    <w:basedOn w:val="Normal"/>
    <w:qFormat/>
    <w:pPr>
      <w:suppressAutoHyphens w:val="false"/>
      <w:spacing w:before="280" w:after="280"/>
      <w:jc w:val="right"/>
    </w:pPr>
    <w:rPr>
      <w:b/>
      <w:bCs/>
      <w:sz w:val="24"/>
      <w:szCs w:val="24"/>
    </w:rPr>
  </w:style>
  <w:style w:type="paragraph" w:styleId="Xl75" w:customStyle="1">
    <w:name w:val="xl75"/>
    <w:basedOn w:val="Normal"/>
    <w:qFormat/>
    <w:pPr>
      <w:suppressAutoHyphens w:val="false"/>
      <w:spacing w:before="280" w:after="280"/>
      <w:jc w:val="right"/>
    </w:pPr>
    <w:rPr>
      <w:sz w:val="24"/>
      <w:szCs w:val="24"/>
    </w:rPr>
  </w:style>
  <w:style w:type="paragraph" w:styleId="Xl74" w:customStyle="1">
    <w:name w:val="xl74"/>
    <w:basedOn w:val="Normal"/>
    <w:qFormat/>
    <w:pPr>
      <w:pBdr>
        <w:top w:val="single" w:sz="4" w:space="0" w:color="000000"/>
        <w:bottom w:val="single" w:sz="4" w:space="0" w:color="000000"/>
        <w:right w:val="single" w:sz="8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73" w:customStyle="1">
    <w:name w:val="xl7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72" w:customStyle="1">
    <w:name w:val="xl72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false"/>
      <w:spacing w:before="280" w:after="280"/>
      <w:jc w:val="right"/>
    </w:pPr>
    <w:rPr>
      <w:sz w:val="20"/>
      <w:szCs w:val="20"/>
    </w:rPr>
  </w:style>
  <w:style w:type="paragraph" w:styleId="Xl71" w:customStyle="1">
    <w:name w:val="xl7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 w:val="false"/>
      <w:spacing w:before="280" w:after="280"/>
      <w:jc w:val="right"/>
    </w:pPr>
    <w:rPr>
      <w:sz w:val="20"/>
      <w:szCs w:val="20"/>
    </w:rPr>
  </w:style>
  <w:style w:type="paragraph" w:styleId="Xl70" w:customStyle="1">
    <w:name w:val="xl70"/>
    <w:basedOn w:val="Normal"/>
    <w:qFormat/>
    <w:pPr>
      <w:pBdr>
        <w:bottom w:val="single" w:sz="4" w:space="0" w:color="000000"/>
        <w:right w:val="single" w:sz="8" w:space="0" w:color="000000"/>
      </w:pBdr>
      <w:suppressAutoHyphens w:val="false"/>
      <w:spacing w:before="280" w:after="280"/>
    </w:pPr>
    <w:rPr>
      <w:sz w:val="20"/>
      <w:szCs w:val="20"/>
    </w:rPr>
  </w:style>
  <w:style w:type="paragraph" w:styleId="Xl69" w:customStyle="1">
    <w:name w:val="xl69"/>
    <w:basedOn w:val="Normal"/>
    <w:qFormat/>
    <w:pPr>
      <w:suppressAutoHyphens w:val="false"/>
      <w:spacing w:before="280" w:after="280"/>
    </w:pPr>
    <w:rPr>
      <w:sz w:val="16"/>
      <w:szCs w:val="16"/>
    </w:rPr>
  </w:style>
  <w:style w:type="paragraph" w:styleId="Xl68" w:customStyle="1">
    <w:name w:val="xl68"/>
    <w:basedOn w:val="Normal"/>
    <w:qFormat/>
    <w:pPr>
      <w:suppressAutoHyphens w:val="false"/>
      <w:spacing w:before="280" w:after="280"/>
      <w:jc w:val="right"/>
    </w:pPr>
    <w:rPr>
      <w:sz w:val="20"/>
      <w:szCs w:val="20"/>
    </w:rPr>
  </w:style>
  <w:style w:type="paragraph" w:styleId="Xl67" w:customStyle="1">
    <w:name w:val="xl67"/>
    <w:basedOn w:val="Normal"/>
    <w:qFormat/>
    <w:pPr>
      <w:pBdr>
        <w:bottom w:val="single" w:sz="4" w:space="0" w:color="000000"/>
      </w:pBdr>
      <w:suppressAutoHyphens w:val="false"/>
      <w:spacing w:before="280" w:after="280"/>
    </w:pPr>
    <w:rPr>
      <w:sz w:val="20"/>
      <w:szCs w:val="20"/>
    </w:rPr>
  </w:style>
  <w:style w:type="paragraph" w:styleId="Xl66" w:customStyle="1">
    <w:name w:val="xl66"/>
    <w:basedOn w:val="Normal"/>
    <w:qFormat/>
    <w:pPr>
      <w:suppressAutoHyphens w:val="false"/>
      <w:spacing w:before="280" w:after="280"/>
    </w:pPr>
    <w:rPr>
      <w:sz w:val="16"/>
      <w:szCs w:val="16"/>
    </w:rPr>
  </w:style>
  <w:style w:type="paragraph" w:styleId="Xl65" w:customStyle="1">
    <w:name w:val="xl65"/>
    <w:basedOn w:val="Normal"/>
    <w:qFormat/>
    <w:pPr>
      <w:suppressAutoHyphens w:val="false"/>
      <w:spacing w:before="280" w:after="280"/>
    </w:pPr>
    <w:rPr>
      <w:sz w:val="20"/>
      <w:szCs w:val="20"/>
    </w:rPr>
  </w:style>
  <w:style w:type="paragraph" w:styleId="Xl64" w:customStyle="1">
    <w:name w:val="xl64"/>
    <w:basedOn w:val="Normal"/>
    <w:qFormat/>
    <w:pPr>
      <w:suppressAutoHyphens w:val="false"/>
      <w:spacing w:before="280" w:after="280"/>
    </w:pPr>
    <w:rPr>
      <w:b/>
      <w:bCs/>
      <w:sz w:val="18"/>
      <w:szCs w:val="18"/>
    </w:rPr>
  </w:style>
  <w:style w:type="paragraph" w:styleId="Xl63" w:customStyle="1">
    <w:name w:val="xl63"/>
    <w:basedOn w:val="Normal"/>
    <w:qFormat/>
    <w:pPr>
      <w:suppressAutoHyphens w:val="false"/>
      <w:spacing w:before="280" w:after="280"/>
    </w:pPr>
    <w:rPr>
      <w:sz w:val="18"/>
      <w:szCs w:val="18"/>
    </w:rPr>
  </w:style>
  <w:style w:type="paragraph" w:styleId="Msonormal" w:customStyle="1">
    <w:name w:val="msonormal"/>
    <w:basedOn w:val="Normal"/>
    <w:qFormat/>
    <w:pPr>
      <w:suppressAutoHyphens w:val="false"/>
      <w:spacing w:before="280" w:after="280"/>
    </w:pPr>
    <w:rPr>
      <w:sz w:val="24"/>
      <w:szCs w:val="24"/>
    </w:rPr>
  </w:style>
  <w:style w:type="paragraph" w:styleId="ConsPlusNonformat" w:customStyle="1">
    <w:name w:val="ConsPlusNonforma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-1" w:customStyle="1">
    <w:name w:val="Контракт-подподпункт"/>
    <w:basedOn w:val="Normal"/>
    <w:qFormat/>
    <w:pPr>
      <w:numPr>
        <w:ilvl w:val="3"/>
        <w:numId w:val="3"/>
      </w:numPr>
    </w:pPr>
    <w:rPr/>
  </w:style>
  <w:style w:type="paragraph" w:styleId="-2" w:customStyle="1">
    <w:name w:val="Контракт-подпункт"/>
    <w:basedOn w:val="Normal"/>
    <w:qFormat/>
    <w:pPr>
      <w:numPr>
        <w:ilvl w:val="2"/>
        <w:numId w:val="3"/>
      </w:numPr>
    </w:pPr>
    <w:rPr/>
  </w:style>
  <w:style w:type="paragraph" w:styleId="-3" w:customStyle="1">
    <w:name w:val="Контракт-пункт"/>
    <w:basedOn w:val="Normal"/>
    <w:qFormat/>
    <w:pPr>
      <w:numPr>
        <w:ilvl w:val="1"/>
        <w:numId w:val="3"/>
      </w:numPr>
    </w:pPr>
    <w:rPr/>
  </w:style>
  <w:style w:type="paragraph" w:styleId="-4" w:customStyle="1">
    <w:name w:val="Контракт-раздел"/>
    <w:basedOn w:val="Normal"/>
    <w:qFormat/>
    <w:pPr>
      <w:keepNext w:val="true"/>
      <w:keepLines/>
      <w:numPr>
        <w:ilvl w:val="0"/>
        <w:numId w:val="3"/>
      </w:numPr>
      <w:tabs>
        <w:tab w:val="clear" w:pos="708"/>
        <w:tab w:val="left" w:pos="0" w:leader="none"/>
        <w:tab w:val="left" w:pos="567" w:leader="none"/>
      </w:tabs>
      <w:spacing w:before="360" w:after="120"/>
      <w:jc w:val="center"/>
      <w:textAlignment w:val="baseline"/>
      <w:outlineLvl w:val="1"/>
    </w:pPr>
    <w:rPr>
      <w:b/>
      <w:bCs/>
      <w:caps/>
    </w:rPr>
  </w:style>
  <w:style w:type="paragraph" w:styleId="114" w:customStyle="1">
    <w:name w:val="Знак1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33" w:customStyle="1">
    <w:name w:val="Пункт 3.3.3"/>
    <w:basedOn w:val="Normal"/>
    <w:qFormat/>
    <w:pPr>
      <w:keepNext w:val="true"/>
      <w:keepLines/>
      <w:widowControl w:val="false"/>
      <w:tabs>
        <w:tab w:val="clear" w:pos="708"/>
        <w:tab w:val="left" w:pos="920" w:leader="none"/>
      </w:tabs>
      <w:spacing w:before="240" w:after="240"/>
      <w:ind w:left="704" w:hanging="504"/>
      <w:textAlignment w:val="baseline"/>
      <w:outlineLvl w:val="1"/>
    </w:pPr>
    <w:rPr>
      <w:sz w:val="24"/>
      <w:szCs w:val="20"/>
    </w:rPr>
  </w:style>
  <w:style w:type="paragraph" w:styleId="115" w:customStyle="1">
    <w:name w:val="Заголовок1"/>
    <w:basedOn w:val="Normal"/>
    <w:qFormat/>
    <w:pPr>
      <w:widowControl w:val="false"/>
      <w:spacing w:before="0" w:after="120"/>
      <w:jc w:val="center"/>
      <w:textAlignment w:val="baseline"/>
    </w:pPr>
    <w:rPr>
      <w:b/>
      <w:bCs/>
      <w:sz w:val="32"/>
      <w:szCs w:val="20"/>
    </w:rPr>
  </w:style>
  <w:style w:type="paragraph" w:styleId="42" w:customStyle="1">
    <w:name w:val="4. Отчерк"/>
    <w:basedOn w:val="Normal"/>
    <w:qFormat/>
    <w:pPr>
      <w:widowControl w:val="false"/>
      <w:numPr>
        <w:ilvl w:val="0"/>
        <w:numId w:val="2"/>
      </w:numPr>
    </w:pPr>
    <w:rPr>
      <w:sz w:val="24"/>
      <w:szCs w:val="24"/>
      <w:lang w:val="x-none" w:eastAsia="x-none"/>
    </w:rPr>
  </w:style>
  <w:style w:type="paragraph" w:styleId="ConsNormal" w:customStyle="1">
    <w:name w:val="ConsNormal"/>
    <w:qFormat/>
    <w:pPr>
      <w:widowControl/>
      <w:suppressAutoHyphens w:val="true"/>
      <w:bidi w:val="0"/>
      <w:spacing w:before="0" w:after="0"/>
      <w:ind w:right="19772" w:firstLine="720"/>
      <w:jc w:val="left"/>
    </w:pPr>
    <w:rPr>
      <w:rFonts w:ascii="Arial" w:hAnsi="Arial" w:eastAsia="Times New Roman" w:cs="Times New Roman"/>
      <w:color w:val="auto"/>
      <w:kern w:val="0"/>
      <w:sz w:val="32"/>
      <w:szCs w:val="20"/>
      <w:lang w:val="ru-RU" w:eastAsia="en-US" w:bidi="ar-SA"/>
    </w:rPr>
  </w:style>
  <w:style w:type="paragraph" w:styleId="38" w:customStyle="1">
    <w:name w:val="3. Подпункт"/>
    <w:basedOn w:val="Heading3"/>
    <w:qFormat/>
    <w:pPr>
      <w:keepNext w:val="false"/>
      <w:widowControl w:val="false"/>
      <w:tabs>
        <w:tab w:val="left" w:pos="0" w:leader="none"/>
        <w:tab w:val="left" w:pos="1620" w:leader="none"/>
      </w:tabs>
      <w:suppressAutoHyphens w:val="false"/>
      <w:spacing w:before="0" w:after="0"/>
      <w:ind w:left="1224" w:hanging="504"/>
      <w:textAlignment w:val="baseline"/>
    </w:pPr>
    <w:rPr/>
  </w:style>
  <w:style w:type="paragraph" w:styleId="28" w:customStyle="1">
    <w:name w:val="2. Пункт"/>
    <w:basedOn w:val="Heading3"/>
    <w:qFormat/>
    <w:pPr>
      <w:keepNext w:val="false"/>
      <w:widowControl w:val="false"/>
      <w:numPr>
        <w:ilvl w:val="1"/>
        <w:numId w:val="1"/>
      </w:numPr>
      <w:suppressAutoHyphens w:val="false"/>
      <w:spacing w:before="0" w:after="0"/>
      <w:textAlignment w:val="baseline"/>
    </w:pPr>
    <w:rPr>
      <w:b w:val="false"/>
    </w:rPr>
  </w:style>
  <w:style w:type="paragraph" w:styleId="116" w:customStyle="1">
    <w:name w:val="1. Статья"/>
    <w:basedOn w:val="Heading3"/>
    <w:qFormat/>
    <w:pPr>
      <w:keepNext w:val="false"/>
      <w:widowControl w:val="false"/>
      <w:numPr>
        <w:ilvl w:val="0"/>
        <w:numId w:val="1"/>
      </w:numPr>
      <w:tabs>
        <w:tab w:val="left" w:pos="0" w:leader="none"/>
        <w:tab w:val="left" w:pos="2340" w:leader="none"/>
      </w:tabs>
      <w:suppressAutoHyphens w:val="false"/>
      <w:spacing w:before="0" w:after="0"/>
      <w:ind w:left="0" w:right="1462" w:hanging="0"/>
      <w:jc w:val="center"/>
      <w:textAlignment w:val="baseline"/>
    </w:pPr>
    <w:rPr>
      <w:b w:val="false"/>
    </w:rPr>
  </w:style>
  <w:style w:type="paragraph" w:styleId="Style43" w:customStyle="1">
    <w:name w:val="Подпункт договора"/>
    <w:basedOn w:val="Normal"/>
    <w:qFormat/>
    <w:pPr>
      <w:tabs>
        <w:tab w:val="clear" w:pos="708"/>
        <w:tab w:val="left" w:pos="360" w:leader="none"/>
      </w:tabs>
    </w:pPr>
    <w:rPr>
      <w:rFonts w:ascii="Arial" w:hAnsi="Arial"/>
      <w:sz w:val="20"/>
      <w:szCs w:val="20"/>
    </w:rPr>
  </w:style>
  <w:style w:type="paragraph" w:styleId="Style44" w:customStyle="1">
    <w:name w:val="Пункт договора"/>
    <w:basedOn w:val="Normal"/>
    <w:qFormat/>
    <w:pPr>
      <w:widowControl w:val="false"/>
    </w:pPr>
    <w:rPr>
      <w:rFonts w:ascii="Arial" w:hAnsi="Arial"/>
      <w:sz w:val="20"/>
      <w:szCs w:val="20"/>
    </w:rPr>
  </w:style>
  <w:style w:type="paragraph" w:styleId="29" w:customStyle="1">
    <w:name w:val="Знак2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Style45" w:customStyle="1">
    <w:name w:val="Знак Знак Знак Знак Знак Знак 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Style110" w:customStyle="1">
    <w:name w:val="Style1"/>
    <w:basedOn w:val="Normal"/>
    <w:qFormat/>
    <w:pPr>
      <w:spacing w:before="240" w:after="0"/>
    </w:pPr>
    <w:rPr>
      <w:b/>
      <w:sz w:val="22"/>
      <w:szCs w:val="20"/>
    </w:rPr>
  </w:style>
  <w:style w:type="paragraph" w:styleId="Caption111" w:customStyle="1">
    <w:name w:val="caption111"/>
    <w:basedOn w:val="Normal"/>
    <w:next w:val="Normal"/>
    <w:qFormat/>
    <w:pPr>
      <w:widowControl w:val="false"/>
      <w:spacing w:before="120" w:after="120"/>
      <w:textAlignment w:val="baseline"/>
    </w:pPr>
    <w:rPr>
      <w:b/>
      <w:bCs/>
      <w:sz w:val="24"/>
      <w:szCs w:val="24"/>
    </w:rPr>
  </w:style>
  <w:style w:type="paragraph" w:styleId="Caption12" w:customStyle="1">
    <w:name w:val="caption12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46" w:customStyle="1">
    <w:name w:val="Заголовок таблицы"/>
    <w:basedOn w:val="Style42"/>
    <w:qFormat/>
    <w:pPr>
      <w:jc w:val="center"/>
    </w:pPr>
    <w:rPr>
      <w:b/>
      <w:bCs/>
    </w:rPr>
  </w:style>
  <w:style w:type="paragraph" w:styleId="Standard">
    <w:name w:val="Standard"/>
    <w:qFormat/>
    <w:pPr>
      <w:widowControl/>
      <w:suppressAutoHyphens w:val="true"/>
      <w:bidi w:val="0"/>
      <w:spacing w:before="60" w:after="0"/>
      <w:jc w:val="both"/>
    </w:pPr>
    <w:rPr>
      <w:rFonts w:ascii="Times New Roman" w:hAnsi="Times New Roman" w:eastAsia="Times New Roman" w:cs="Times New Roman"/>
      <w:color w:val="00000A"/>
      <w:kern w:val="0"/>
      <w:sz w:val="26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numbering" w:styleId="117" w:customStyle="1">
    <w:name w:val="Стиль1"/>
    <w:uiPriority w:val="99"/>
    <w:qFormat/>
    <w:rsid w:val="00f001e4"/>
  </w:style>
  <w:style w:type="numbering" w:styleId="210" w:customStyle="1">
    <w:name w:val="Стиль2"/>
    <w:uiPriority w:val="99"/>
    <w:qFormat/>
    <w:rsid w:val="006629c9"/>
  </w:style>
  <w:style w:type="numbering" w:styleId="WW8Num1" w:customStyle="1">
    <w:name w:val="WW8Num1"/>
    <w:qFormat/>
  </w:style>
  <w:style w:type="numbering" w:styleId="118" w:customStyle="1">
    <w:name w:val="Нет списка1"/>
    <w:qFormat/>
  </w:style>
  <w:style w:type="numbering" w:styleId="WW8Num2">
    <w:name w:val="WW8Num2"/>
    <w:qFormat/>
  </w:style>
  <w:style w:type="numbering" w:styleId="WW8Num3">
    <w:name w:val="WW8Num3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f1">
    <w:name w:val="Table Grid"/>
    <w:basedOn w:val="a1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f3">
    <w:name w:val="Сетка таблицы1"/>
    <w:basedOn w:val="a1"/>
    <w:uiPriority w:val="3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header" Target="header6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A732F-729F-4FD3-9C6F-6B17B0F0E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1115</TotalTime>
  <Application>AlterOffice/2025.3.1.0$Linux_X86_64 LibreOffice_project/431cd1b79110582f53535c95ed0a2449aadc8bf9</Application>
  <AppVersion>15.0000</AppVersion>
  <Pages>20</Pages>
  <Words>3841</Words>
  <Characters>27971</Characters>
  <CharactersWithSpaces>31245</CharactersWithSpaces>
  <Paragraphs>354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2024-05-08T00:45:00Z</dcterms:created>
  <dc:creator>Быстров Олег Геннадьевич</dc:creator>
  <dc:description/>
  <dc:language>ru-RU</dc:language>
  <cp:lastModifiedBy>dmitryachkova_ea</cp:lastModifiedBy>
  <cp:lastPrinted>2026-03-03T09:25:44Z</cp:lastPrinted>
  <dcterms:modified xsi:type="dcterms:W3CDTF">2026-09-08T16:58:48Z</dcterms:modified>
  <cp:revision>116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